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null)" ContentType="image/x-em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DF0" w:rsidRDefault="001F0DF0" w:rsidP="001F0DF0">
      <w:pPr>
        <w:tabs>
          <w:tab w:val="left" w:pos="426"/>
        </w:tabs>
        <w:autoSpaceDE w:val="0"/>
        <w:autoSpaceDN w:val="0"/>
        <w:adjustRightInd w:val="0"/>
        <w:spacing w:after="0" w:line="360" w:lineRule="auto"/>
        <w:jc w:val="both"/>
        <w:outlineLvl w:val="0"/>
        <w:rPr>
          <w:rFonts w:ascii="Arial" w:hAnsi="Arial" w:cs="Arial"/>
          <w:bCs/>
          <w:sz w:val="24"/>
          <w:szCs w:val="24"/>
        </w:rPr>
      </w:pPr>
      <w:r w:rsidRPr="0011613D">
        <w:rPr>
          <w:rFonts w:ascii="Arial" w:hAnsi="Arial" w:cs="Arial"/>
          <w:bCs/>
          <w:sz w:val="24"/>
          <w:szCs w:val="24"/>
        </w:rPr>
        <w:t>Electronic Supplement Material</w:t>
      </w:r>
      <w:r>
        <w:rPr>
          <w:rFonts w:ascii="Arial" w:hAnsi="Arial" w:cs="Arial"/>
          <w:bCs/>
          <w:sz w:val="24"/>
          <w:szCs w:val="24"/>
        </w:rPr>
        <w:t xml:space="preserve"> 2</w:t>
      </w:r>
      <w:r w:rsidRPr="0011613D">
        <w:rPr>
          <w:rFonts w:ascii="Arial" w:hAnsi="Arial" w:cs="Arial"/>
          <w:bCs/>
          <w:sz w:val="24"/>
          <w:szCs w:val="24"/>
        </w:rPr>
        <w:t xml:space="preserve"> </w:t>
      </w:r>
      <w:r>
        <w:rPr>
          <w:rFonts w:ascii="Arial" w:hAnsi="Arial" w:cs="Arial"/>
          <w:bCs/>
          <w:sz w:val="24"/>
          <w:szCs w:val="24"/>
        </w:rPr>
        <w:t xml:space="preserve">(Methods and Figures) </w:t>
      </w:r>
      <w:r w:rsidRPr="0011613D">
        <w:rPr>
          <w:rFonts w:ascii="Arial" w:hAnsi="Arial" w:cs="Arial"/>
          <w:bCs/>
          <w:sz w:val="24"/>
          <w:szCs w:val="24"/>
        </w:rPr>
        <w:t xml:space="preserve">for </w:t>
      </w:r>
    </w:p>
    <w:p w:rsidR="001F0DF0" w:rsidRPr="0011613D" w:rsidRDefault="001F0DF0" w:rsidP="001F0DF0">
      <w:pPr>
        <w:tabs>
          <w:tab w:val="left" w:pos="426"/>
        </w:tabs>
        <w:autoSpaceDE w:val="0"/>
        <w:autoSpaceDN w:val="0"/>
        <w:adjustRightInd w:val="0"/>
        <w:spacing w:after="0" w:line="360" w:lineRule="auto"/>
        <w:jc w:val="both"/>
        <w:outlineLvl w:val="0"/>
        <w:rPr>
          <w:rFonts w:ascii="Arial" w:hAnsi="Arial" w:cs="Arial"/>
          <w:bCs/>
          <w:sz w:val="24"/>
          <w:szCs w:val="24"/>
        </w:rPr>
      </w:pPr>
    </w:p>
    <w:p w:rsidR="001F0DF0" w:rsidRPr="00665D81" w:rsidRDefault="001F0DF0" w:rsidP="001F0DF0">
      <w:pPr>
        <w:tabs>
          <w:tab w:val="left" w:pos="426"/>
        </w:tabs>
        <w:autoSpaceDE w:val="0"/>
        <w:autoSpaceDN w:val="0"/>
        <w:adjustRightInd w:val="0"/>
        <w:spacing w:after="0" w:line="360" w:lineRule="auto"/>
        <w:jc w:val="both"/>
        <w:outlineLvl w:val="0"/>
        <w:rPr>
          <w:rFonts w:ascii="Arial" w:hAnsi="Arial" w:cs="Arial"/>
          <w:b/>
          <w:bCs/>
          <w:sz w:val="24"/>
          <w:szCs w:val="24"/>
        </w:rPr>
      </w:pPr>
      <w:r w:rsidRPr="00665D81">
        <w:rPr>
          <w:rFonts w:ascii="Arial" w:hAnsi="Arial" w:cs="Arial"/>
          <w:b/>
          <w:bCs/>
          <w:sz w:val="24"/>
          <w:szCs w:val="24"/>
        </w:rPr>
        <w:t>Contrasting evolutionary history</w:t>
      </w:r>
      <w:r>
        <w:rPr>
          <w:rFonts w:ascii="Arial" w:hAnsi="Arial" w:cs="Arial"/>
          <w:b/>
          <w:bCs/>
          <w:sz w:val="24"/>
          <w:szCs w:val="24"/>
        </w:rPr>
        <w:t xml:space="preserve">, </w:t>
      </w:r>
      <w:r w:rsidRPr="00665D81">
        <w:rPr>
          <w:rFonts w:ascii="Arial" w:hAnsi="Arial" w:cs="Arial"/>
          <w:b/>
          <w:bCs/>
          <w:sz w:val="24"/>
          <w:szCs w:val="24"/>
        </w:rPr>
        <w:t xml:space="preserve">anthropogenic declines </w:t>
      </w:r>
      <w:r>
        <w:rPr>
          <w:rFonts w:ascii="Arial" w:hAnsi="Arial" w:cs="Arial"/>
          <w:b/>
          <w:bCs/>
          <w:sz w:val="24"/>
          <w:szCs w:val="24"/>
        </w:rPr>
        <w:t xml:space="preserve">and genetic contact </w:t>
      </w:r>
      <w:r w:rsidRPr="00665D81">
        <w:rPr>
          <w:rFonts w:ascii="Arial" w:hAnsi="Arial" w:cs="Arial"/>
          <w:b/>
          <w:bCs/>
          <w:sz w:val="24"/>
          <w:szCs w:val="24"/>
        </w:rPr>
        <w:t>in the northern and southern white rhinoceros (</w:t>
      </w:r>
      <w:proofErr w:type="spellStart"/>
      <w:r w:rsidRPr="00665D81">
        <w:rPr>
          <w:rFonts w:ascii="Arial" w:hAnsi="Arial" w:cs="Arial"/>
          <w:b/>
          <w:bCs/>
          <w:i/>
          <w:sz w:val="24"/>
          <w:szCs w:val="24"/>
        </w:rPr>
        <w:t>Ceratotherium</w:t>
      </w:r>
      <w:proofErr w:type="spellEnd"/>
      <w:r w:rsidRPr="00665D81">
        <w:rPr>
          <w:rFonts w:ascii="Arial" w:hAnsi="Arial" w:cs="Arial"/>
          <w:b/>
          <w:bCs/>
          <w:i/>
          <w:sz w:val="24"/>
          <w:szCs w:val="24"/>
        </w:rPr>
        <w:t xml:space="preserve"> </w:t>
      </w:r>
      <w:proofErr w:type="spellStart"/>
      <w:r w:rsidRPr="00665D81">
        <w:rPr>
          <w:rFonts w:ascii="Arial" w:hAnsi="Arial" w:cs="Arial"/>
          <w:b/>
          <w:bCs/>
          <w:i/>
          <w:sz w:val="24"/>
          <w:szCs w:val="24"/>
        </w:rPr>
        <w:t>simum</w:t>
      </w:r>
      <w:proofErr w:type="spellEnd"/>
      <w:r w:rsidRPr="00665D81">
        <w:rPr>
          <w:rFonts w:ascii="Arial" w:hAnsi="Arial" w:cs="Arial"/>
          <w:b/>
          <w:bCs/>
          <w:sz w:val="24"/>
          <w:szCs w:val="24"/>
        </w:rPr>
        <w:t>)</w:t>
      </w:r>
    </w:p>
    <w:p w:rsidR="001F0DF0" w:rsidRPr="00AA659D" w:rsidRDefault="001F0DF0" w:rsidP="001F0DF0">
      <w:pPr>
        <w:pStyle w:val="FWFHeading1"/>
        <w:spacing w:line="360" w:lineRule="auto"/>
        <w:jc w:val="both"/>
        <w:rPr>
          <w:color w:val="auto"/>
        </w:rPr>
      </w:pPr>
    </w:p>
    <w:p w:rsidR="001F0DF0" w:rsidRPr="00AA659D" w:rsidRDefault="001F0DF0" w:rsidP="001F0DF0">
      <w:pPr>
        <w:pStyle w:val="FWFHeading2"/>
        <w:spacing w:line="360" w:lineRule="auto"/>
        <w:jc w:val="both"/>
        <w:rPr>
          <w:b w:val="0"/>
          <w:color w:val="auto"/>
        </w:rPr>
      </w:pPr>
      <w:proofErr w:type="spellStart"/>
      <w:r w:rsidRPr="00AA659D">
        <w:rPr>
          <w:b w:val="0"/>
          <w:color w:val="auto"/>
        </w:rPr>
        <w:t>Yoshan</w:t>
      </w:r>
      <w:proofErr w:type="spellEnd"/>
      <w:r w:rsidRPr="00AA659D">
        <w:rPr>
          <w:b w:val="0"/>
          <w:color w:val="auto"/>
        </w:rPr>
        <w:t xml:space="preserve"> Moodley</w:t>
      </w:r>
      <w:r>
        <w:rPr>
          <w:b w:val="0"/>
          <w:color w:val="auto"/>
        </w:rPr>
        <w:t>*</w:t>
      </w:r>
      <w:r w:rsidRPr="00AA659D">
        <w:rPr>
          <w:b w:val="0"/>
          <w:color w:val="auto"/>
        </w:rPr>
        <w:t>, Isa-Rita Russo</w:t>
      </w:r>
      <w:r>
        <w:rPr>
          <w:b w:val="0"/>
          <w:color w:val="auto"/>
        </w:rPr>
        <w:t>*</w:t>
      </w:r>
      <w:r w:rsidRPr="00AA659D">
        <w:rPr>
          <w:b w:val="0"/>
          <w:color w:val="auto"/>
        </w:rPr>
        <w:t xml:space="preserve">, Jan </w:t>
      </w:r>
      <w:proofErr w:type="spellStart"/>
      <w:r w:rsidRPr="00AA659D">
        <w:rPr>
          <w:b w:val="0"/>
          <w:color w:val="auto"/>
        </w:rPr>
        <w:t>Robovský</w:t>
      </w:r>
      <w:proofErr w:type="spellEnd"/>
      <w:r w:rsidRPr="00AA659D">
        <w:rPr>
          <w:b w:val="0"/>
          <w:color w:val="auto"/>
        </w:rPr>
        <w:t xml:space="preserve">, </w:t>
      </w:r>
      <w:proofErr w:type="spellStart"/>
      <w:r w:rsidRPr="00AA659D">
        <w:rPr>
          <w:b w:val="0"/>
          <w:color w:val="auto"/>
        </w:rPr>
        <w:t>Desiré</w:t>
      </w:r>
      <w:proofErr w:type="spellEnd"/>
      <w:r w:rsidRPr="00AA659D">
        <w:rPr>
          <w:b w:val="0"/>
          <w:color w:val="auto"/>
        </w:rPr>
        <w:t xml:space="preserve"> L. Dalton, Antoinette </w:t>
      </w:r>
      <w:proofErr w:type="spellStart"/>
      <w:r w:rsidRPr="00AA659D">
        <w:rPr>
          <w:b w:val="0"/>
          <w:color w:val="auto"/>
        </w:rPr>
        <w:t>Kotzé</w:t>
      </w:r>
      <w:proofErr w:type="spellEnd"/>
      <w:r w:rsidRPr="00AA659D">
        <w:rPr>
          <w:b w:val="0"/>
          <w:color w:val="auto"/>
        </w:rPr>
        <w:t>, Steve Smith,</w:t>
      </w:r>
      <w:r>
        <w:rPr>
          <w:b w:val="0"/>
          <w:color w:val="auto"/>
        </w:rPr>
        <w:t xml:space="preserve"> Jan Stejskal,</w:t>
      </w:r>
      <w:r w:rsidRPr="00AA659D">
        <w:rPr>
          <w:b w:val="0"/>
          <w:color w:val="auto"/>
        </w:rPr>
        <w:t xml:space="preserve"> </w:t>
      </w:r>
      <w:r>
        <w:rPr>
          <w:b w:val="0"/>
          <w:color w:val="auto"/>
        </w:rPr>
        <w:t xml:space="preserve">Oliver A. Ryder, </w:t>
      </w:r>
      <w:r w:rsidRPr="00AA659D">
        <w:rPr>
          <w:b w:val="0"/>
          <w:color w:val="auto"/>
        </w:rPr>
        <w:t xml:space="preserve">Robert Hermes, Chris </w:t>
      </w:r>
      <w:proofErr w:type="spellStart"/>
      <w:r w:rsidRPr="00AA659D">
        <w:rPr>
          <w:b w:val="0"/>
          <w:color w:val="auto"/>
        </w:rPr>
        <w:t>Walzer</w:t>
      </w:r>
      <w:proofErr w:type="spellEnd"/>
      <w:r w:rsidRPr="00AA659D">
        <w:rPr>
          <w:b w:val="0"/>
          <w:color w:val="auto"/>
        </w:rPr>
        <w:t xml:space="preserve"> &amp; Michael W. </w:t>
      </w:r>
      <w:proofErr w:type="spellStart"/>
      <w:r w:rsidRPr="00AA659D">
        <w:rPr>
          <w:b w:val="0"/>
          <w:color w:val="auto"/>
        </w:rPr>
        <w:t>Bruford</w:t>
      </w:r>
      <w:proofErr w:type="spellEnd"/>
    </w:p>
    <w:p w:rsidR="001F0DF0" w:rsidRDefault="001F0DF0" w:rsidP="001F0DF0">
      <w:pPr>
        <w:pStyle w:val="FWFHeading2"/>
        <w:spacing w:line="360" w:lineRule="auto"/>
        <w:jc w:val="both"/>
        <w:rPr>
          <w:b w:val="0"/>
          <w:color w:val="auto"/>
        </w:rPr>
      </w:pPr>
    </w:p>
    <w:p w:rsidR="001F0DF0" w:rsidRPr="00AA659D" w:rsidRDefault="001F0DF0" w:rsidP="001F0DF0">
      <w:pPr>
        <w:pStyle w:val="FWFHeading2"/>
        <w:spacing w:line="360" w:lineRule="auto"/>
        <w:jc w:val="both"/>
        <w:rPr>
          <w:b w:val="0"/>
          <w:color w:val="auto"/>
        </w:rPr>
      </w:pPr>
      <w:r w:rsidRPr="00AA659D">
        <w:rPr>
          <w:b w:val="0"/>
          <w:color w:val="auto"/>
        </w:rPr>
        <w:t>* Equally contributing first authors</w:t>
      </w:r>
    </w:p>
    <w:p w:rsidR="001F0DF0" w:rsidRDefault="001F0DF0" w:rsidP="001F0DF0">
      <w:pPr>
        <w:pStyle w:val="FWFHeading2"/>
        <w:spacing w:line="360" w:lineRule="auto"/>
        <w:jc w:val="both"/>
        <w:rPr>
          <w:b w:val="0"/>
          <w:color w:val="auto"/>
        </w:rPr>
      </w:pPr>
    </w:p>
    <w:p w:rsidR="001F0DF0" w:rsidRDefault="001F0DF0" w:rsidP="001F0DF0">
      <w:pPr>
        <w:pStyle w:val="FWFHeading2"/>
        <w:spacing w:line="360" w:lineRule="auto"/>
        <w:jc w:val="both"/>
        <w:rPr>
          <w:b w:val="0"/>
          <w:color w:val="auto"/>
        </w:rPr>
      </w:pPr>
      <w:r w:rsidRPr="00AA659D">
        <w:rPr>
          <w:b w:val="0"/>
          <w:color w:val="auto"/>
        </w:rPr>
        <w:t>#</w:t>
      </w:r>
      <w:proofErr w:type="gramStart"/>
      <w:r w:rsidRPr="00AA659D">
        <w:rPr>
          <w:b w:val="0"/>
          <w:color w:val="auto"/>
        </w:rPr>
        <w:t>Corresponding</w:t>
      </w:r>
      <w:proofErr w:type="gramEnd"/>
      <w:r w:rsidRPr="00AA659D">
        <w:rPr>
          <w:b w:val="0"/>
          <w:color w:val="auto"/>
        </w:rPr>
        <w:t xml:space="preserve"> authors: </w:t>
      </w:r>
      <w:proofErr w:type="spellStart"/>
      <w:r w:rsidRPr="00AA659D">
        <w:rPr>
          <w:b w:val="0"/>
          <w:color w:val="auto"/>
        </w:rPr>
        <w:t>Yoshan</w:t>
      </w:r>
      <w:proofErr w:type="spellEnd"/>
      <w:r w:rsidRPr="00AA659D">
        <w:rPr>
          <w:b w:val="0"/>
          <w:color w:val="auto"/>
        </w:rPr>
        <w:t xml:space="preserve"> Moodley (</w:t>
      </w:r>
      <w:hyperlink r:id="rId5" w:history="1">
        <w:r w:rsidRPr="00AA659D">
          <w:rPr>
            <w:rStyle w:val="Hyperlink"/>
            <w:b w:val="0"/>
            <w:color w:val="auto"/>
          </w:rPr>
          <w:t>yoshan.moodley@univen.ac.za</w:t>
        </w:r>
      </w:hyperlink>
      <w:r w:rsidRPr="00AA659D">
        <w:rPr>
          <w:b w:val="0"/>
          <w:color w:val="auto"/>
        </w:rPr>
        <w:t>), Isa-Rita Russo (</w:t>
      </w:r>
      <w:hyperlink r:id="rId6" w:history="1">
        <w:r w:rsidRPr="00AA659D">
          <w:rPr>
            <w:rStyle w:val="Hyperlink"/>
            <w:b w:val="0"/>
            <w:color w:val="auto"/>
          </w:rPr>
          <w:t>RussoIM@cardiff.ac.uk</w:t>
        </w:r>
      </w:hyperlink>
      <w:r w:rsidRPr="00AA659D">
        <w:rPr>
          <w:b w:val="0"/>
          <w:color w:val="auto"/>
        </w:rPr>
        <w:t xml:space="preserve">) and Michael W. </w:t>
      </w:r>
      <w:proofErr w:type="spellStart"/>
      <w:r w:rsidRPr="00AA659D">
        <w:rPr>
          <w:b w:val="0"/>
          <w:color w:val="auto"/>
        </w:rPr>
        <w:t>Bruford</w:t>
      </w:r>
      <w:proofErr w:type="spellEnd"/>
      <w:r w:rsidRPr="00AA659D">
        <w:rPr>
          <w:b w:val="0"/>
          <w:color w:val="auto"/>
        </w:rPr>
        <w:t xml:space="preserve"> (</w:t>
      </w:r>
      <w:hyperlink r:id="rId7" w:history="1">
        <w:r w:rsidRPr="00AA659D">
          <w:rPr>
            <w:rStyle w:val="Hyperlink"/>
            <w:b w:val="0"/>
            <w:color w:val="auto"/>
          </w:rPr>
          <w:t>BrufordMW@Cardiff.ac.uk</w:t>
        </w:r>
      </w:hyperlink>
      <w:r w:rsidRPr="00AA659D">
        <w:rPr>
          <w:b w:val="0"/>
          <w:color w:val="auto"/>
        </w:rPr>
        <w:t>).</w:t>
      </w:r>
    </w:p>
    <w:p w:rsidR="001F0DF0" w:rsidRDefault="001F0DF0" w:rsidP="001F0DF0">
      <w:pPr>
        <w:pStyle w:val="FWFHeading2"/>
        <w:spacing w:line="360" w:lineRule="auto"/>
        <w:jc w:val="both"/>
        <w:rPr>
          <w:b w:val="0"/>
          <w:color w:val="auto"/>
        </w:rPr>
      </w:pPr>
    </w:p>
    <w:p w:rsidR="001F0DF0" w:rsidRPr="00C83F98" w:rsidRDefault="001F0DF0" w:rsidP="001F0DF0">
      <w:pPr>
        <w:pStyle w:val="FWFHeading2"/>
        <w:spacing w:line="360" w:lineRule="auto"/>
        <w:jc w:val="both"/>
        <w:rPr>
          <w:b w:val="0"/>
          <w:color w:val="auto"/>
        </w:rPr>
      </w:pPr>
      <w:r w:rsidRPr="00C83F98">
        <w:rPr>
          <w:b w:val="0"/>
          <w:color w:val="auto"/>
        </w:rPr>
        <w:t>This file contains:</w:t>
      </w:r>
    </w:p>
    <w:p w:rsidR="001F0DF0" w:rsidRDefault="001F0DF0" w:rsidP="0059230F">
      <w:pPr>
        <w:pStyle w:val="FWFHeading2"/>
        <w:numPr>
          <w:ilvl w:val="0"/>
          <w:numId w:val="1"/>
        </w:numPr>
        <w:spacing w:line="360" w:lineRule="auto"/>
        <w:ind w:left="0" w:firstLine="0"/>
        <w:jc w:val="both"/>
        <w:rPr>
          <w:b w:val="0"/>
          <w:color w:val="auto"/>
        </w:rPr>
      </w:pPr>
      <w:r>
        <w:rPr>
          <w:b w:val="0"/>
          <w:color w:val="auto"/>
        </w:rPr>
        <w:t>Samples</w:t>
      </w:r>
    </w:p>
    <w:p w:rsidR="001F0DF0" w:rsidRDefault="001F0DF0" w:rsidP="0059230F">
      <w:pPr>
        <w:pStyle w:val="FWFHeading2"/>
        <w:numPr>
          <w:ilvl w:val="0"/>
          <w:numId w:val="1"/>
        </w:numPr>
        <w:spacing w:line="360" w:lineRule="auto"/>
        <w:ind w:left="0" w:firstLine="0"/>
        <w:jc w:val="both"/>
        <w:rPr>
          <w:b w:val="0"/>
          <w:color w:val="auto"/>
        </w:rPr>
      </w:pPr>
      <w:r w:rsidRPr="00C83F98">
        <w:rPr>
          <w:b w:val="0"/>
          <w:color w:val="auto"/>
        </w:rPr>
        <w:t xml:space="preserve">Molecular methods </w:t>
      </w:r>
    </w:p>
    <w:p w:rsidR="001F0DF0" w:rsidRDefault="001F0DF0" w:rsidP="0059230F">
      <w:pPr>
        <w:pStyle w:val="FWFHeading2"/>
        <w:numPr>
          <w:ilvl w:val="0"/>
          <w:numId w:val="1"/>
        </w:numPr>
        <w:spacing w:line="360" w:lineRule="auto"/>
        <w:ind w:left="0" w:firstLine="0"/>
        <w:jc w:val="both"/>
        <w:outlineLvl w:val="0"/>
        <w:rPr>
          <w:b w:val="0"/>
          <w:color w:val="auto"/>
        </w:rPr>
      </w:pPr>
      <w:r w:rsidRPr="00AA659D">
        <w:rPr>
          <w:b w:val="0"/>
          <w:color w:val="auto"/>
        </w:rPr>
        <w:t>Ancient changes in effective population size</w:t>
      </w:r>
    </w:p>
    <w:p w:rsidR="001F0DF0" w:rsidRPr="0059230F" w:rsidRDefault="001F0DF0" w:rsidP="0059230F">
      <w:pPr>
        <w:pStyle w:val="ListParagraph"/>
        <w:numPr>
          <w:ilvl w:val="0"/>
          <w:numId w:val="1"/>
        </w:numPr>
        <w:spacing w:after="23" w:line="360" w:lineRule="auto"/>
        <w:ind w:left="0" w:firstLine="0"/>
        <w:rPr>
          <w:rFonts w:ascii="Arial" w:hAnsi="Arial" w:cs="Arial"/>
        </w:rPr>
      </w:pPr>
      <w:r w:rsidRPr="0059230F">
        <w:rPr>
          <w:rFonts w:ascii="Arial" w:hAnsi="Arial" w:cs="Arial"/>
        </w:rPr>
        <w:t xml:space="preserve">Anthropogenic demographic changes </w:t>
      </w:r>
    </w:p>
    <w:p w:rsidR="001F0DF0" w:rsidRPr="00AA659D" w:rsidRDefault="001F0DF0" w:rsidP="0059230F">
      <w:pPr>
        <w:pStyle w:val="FWFHeading2"/>
        <w:numPr>
          <w:ilvl w:val="0"/>
          <w:numId w:val="1"/>
        </w:numPr>
        <w:spacing w:line="360" w:lineRule="auto"/>
        <w:ind w:left="0" w:firstLine="0"/>
        <w:jc w:val="both"/>
        <w:outlineLvl w:val="0"/>
        <w:rPr>
          <w:b w:val="0"/>
          <w:color w:val="auto"/>
        </w:rPr>
      </w:pPr>
      <w:r>
        <w:rPr>
          <w:b w:val="0"/>
          <w:color w:val="auto"/>
        </w:rPr>
        <w:t>Secondary contact</w:t>
      </w:r>
    </w:p>
    <w:p w:rsidR="001F0DF0" w:rsidRPr="00C83F98" w:rsidRDefault="001F0DF0" w:rsidP="0059230F">
      <w:pPr>
        <w:pStyle w:val="FWFHeading2"/>
        <w:numPr>
          <w:ilvl w:val="0"/>
          <w:numId w:val="1"/>
        </w:numPr>
        <w:spacing w:line="360" w:lineRule="auto"/>
        <w:ind w:left="0" w:firstLine="0"/>
        <w:jc w:val="both"/>
        <w:rPr>
          <w:b w:val="0"/>
          <w:color w:val="auto"/>
        </w:rPr>
      </w:pPr>
      <w:r w:rsidRPr="00C83F98">
        <w:rPr>
          <w:b w:val="0"/>
          <w:color w:val="auto"/>
        </w:rPr>
        <w:t xml:space="preserve">Figure S1 </w:t>
      </w:r>
    </w:p>
    <w:p w:rsidR="001F0DF0" w:rsidRPr="0059230F" w:rsidRDefault="001F0DF0" w:rsidP="0059230F">
      <w:pPr>
        <w:pStyle w:val="ListParagraph"/>
        <w:numPr>
          <w:ilvl w:val="0"/>
          <w:numId w:val="1"/>
        </w:numPr>
        <w:spacing w:after="23" w:line="360" w:lineRule="auto"/>
        <w:ind w:left="0" w:firstLine="0"/>
        <w:rPr>
          <w:rFonts w:ascii="Arial" w:hAnsi="Arial" w:cs="Arial"/>
        </w:rPr>
      </w:pPr>
      <w:r w:rsidRPr="0059230F">
        <w:rPr>
          <w:rFonts w:ascii="Arial" w:hAnsi="Arial" w:cs="Arial"/>
        </w:rPr>
        <w:t>Figure S2</w:t>
      </w:r>
    </w:p>
    <w:p w:rsidR="001F0DF0" w:rsidRDefault="001F0DF0" w:rsidP="0059230F">
      <w:pPr>
        <w:pStyle w:val="FWFHeading2"/>
        <w:numPr>
          <w:ilvl w:val="0"/>
          <w:numId w:val="1"/>
        </w:numPr>
        <w:spacing w:line="360" w:lineRule="auto"/>
        <w:ind w:left="0" w:firstLine="0"/>
        <w:jc w:val="both"/>
        <w:rPr>
          <w:b w:val="0"/>
          <w:color w:val="auto"/>
        </w:rPr>
      </w:pPr>
      <w:r w:rsidRPr="008155BC">
        <w:rPr>
          <w:b w:val="0"/>
          <w:color w:val="auto"/>
        </w:rPr>
        <w:t>Figure S3</w:t>
      </w:r>
    </w:p>
    <w:p w:rsidR="0059230F" w:rsidRDefault="0059230F" w:rsidP="0059230F">
      <w:pPr>
        <w:pStyle w:val="FWFHeading2"/>
        <w:numPr>
          <w:ilvl w:val="0"/>
          <w:numId w:val="1"/>
        </w:numPr>
        <w:spacing w:line="360" w:lineRule="auto"/>
        <w:ind w:left="0" w:firstLine="0"/>
        <w:jc w:val="both"/>
        <w:rPr>
          <w:b w:val="0"/>
          <w:color w:val="auto"/>
        </w:rPr>
      </w:pPr>
      <w:r>
        <w:rPr>
          <w:b w:val="0"/>
          <w:color w:val="auto"/>
        </w:rPr>
        <w:t>Figure S4</w:t>
      </w:r>
    </w:p>
    <w:p w:rsidR="0059230F" w:rsidRDefault="0059230F" w:rsidP="0059230F">
      <w:pPr>
        <w:pStyle w:val="FWFHeading2"/>
        <w:numPr>
          <w:ilvl w:val="0"/>
          <w:numId w:val="1"/>
        </w:numPr>
        <w:spacing w:line="360" w:lineRule="auto"/>
        <w:ind w:left="0" w:firstLine="0"/>
        <w:jc w:val="both"/>
        <w:rPr>
          <w:b w:val="0"/>
          <w:color w:val="auto"/>
        </w:rPr>
      </w:pPr>
      <w:r>
        <w:rPr>
          <w:b w:val="0"/>
          <w:color w:val="auto"/>
        </w:rPr>
        <w:t>Figure S5</w:t>
      </w:r>
    </w:p>
    <w:p w:rsidR="0059230F" w:rsidRDefault="0059230F" w:rsidP="0059230F">
      <w:pPr>
        <w:pStyle w:val="FWFHeading2"/>
        <w:numPr>
          <w:ilvl w:val="0"/>
          <w:numId w:val="1"/>
        </w:numPr>
        <w:spacing w:line="360" w:lineRule="auto"/>
        <w:ind w:left="0" w:firstLine="0"/>
        <w:jc w:val="both"/>
        <w:rPr>
          <w:b w:val="0"/>
          <w:color w:val="auto"/>
        </w:rPr>
      </w:pPr>
      <w:r>
        <w:rPr>
          <w:b w:val="0"/>
          <w:color w:val="auto"/>
        </w:rPr>
        <w:t>Figure S6</w:t>
      </w:r>
    </w:p>
    <w:p w:rsidR="001F0DF0" w:rsidRPr="008155BC" w:rsidRDefault="001F0DF0" w:rsidP="0059230F">
      <w:pPr>
        <w:pStyle w:val="FWFHeading2"/>
        <w:numPr>
          <w:ilvl w:val="0"/>
          <w:numId w:val="1"/>
        </w:numPr>
        <w:spacing w:line="360" w:lineRule="auto"/>
        <w:ind w:left="0" w:firstLine="0"/>
        <w:jc w:val="both"/>
        <w:rPr>
          <w:b w:val="0"/>
          <w:color w:val="auto"/>
        </w:rPr>
      </w:pPr>
      <w:r>
        <w:rPr>
          <w:b w:val="0"/>
          <w:color w:val="auto"/>
        </w:rPr>
        <w:t>Supplementary References</w:t>
      </w:r>
    </w:p>
    <w:p w:rsidR="001F0DF0" w:rsidRPr="00AA659D" w:rsidRDefault="001F0DF0" w:rsidP="001F0DF0">
      <w:pPr>
        <w:pStyle w:val="FWFHeading2"/>
        <w:spacing w:line="360" w:lineRule="auto"/>
        <w:jc w:val="both"/>
        <w:rPr>
          <w:color w:val="auto"/>
        </w:rPr>
      </w:pPr>
    </w:p>
    <w:p w:rsidR="001F0DF0" w:rsidRDefault="001F0DF0" w:rsidP="001F0DF0">
      <w:pPr>
        <w:spacing w:line="360" w:lineRule="auto"/>
        <w:jc w:val="both"/>
        <w:rPr>
          <w:rFonts w:ascii="Arial" w:hAnsi="Arial" w:cs="Arial"/>
        </w:rPr>
      </w:pPr>
    </w:p>
    <w:p w:rsidR="001F0DF0" w:rsidRDefault="001F0DF0" w:rsidP="001F0DF0">
      <w:pPr>
        <w:spacing w:after="160" w:line="259" w:lineRule="auto"/>
        <w:rPr>
          <w:rFonts w:ascii="Arial" w:hAnsi="Arial" w:cs="Arial"/>
          <w:lang w:val="en-US"/>
        </w:rPr>
      </w:pPr>
      <w:r>
        <w:rPr>
          <w:rFonts w:ascii="Arial" w:hAnsi="Arial" w:cs="Arial"/>
          <w:lang w:val="en-US"/>
        </w:rPr>
        <w:br w:type="page"/>
      </w:r>
    </w:p>
    <w:p w:rsidR="001F0DF0" w:rsidRDefault="001F0DF0" w:rsidP="001F0DF0">
      <w:pPr>
        <w:pStyle w:val="FWFHeading2"/>
        <w:spacing w:line="360" w:lineRule="auto"/>
        <w:jc w:val="both"/>
        <w:outlineLvl w:val="0"/>
        <w:rPr>
          <w:b w:val="0"/>
          <w:color w:val="auto"/>
        </w:rPr>
      </w:pPr>
      <w:r>
        <w:rPr>
          <w:b w:val="0"/>
          <w:color w:val="auto"/>
        </w:rPr>
        <w:lastRenderedPageBreak/>
        <w:t>1. Samples</w:t>
      </w:r>
    </w:p>
    <w:p w:rsidR="001F0DF0" w:rsidRDefault="001F0DF0" w:rsidP="001F0DF0">
      <w:pPr>
        <w:pStyle w:val="FWFHeading2"/>
        <w:spacing w:line="360" w:lineRule="auto"/>
        <w:jc w:val="both"/>
      </w:pPr>
      <w:r w:rsidRPr="00AA659D">
        <w:rPr>
          <w:b w:val="0"/>
          <w:color w:val="auto"/>
        </w:rPr>
        <w:t xml:space="preserve">Samples were collected from wild and captive animals for both </w:t>
      </w:r>
      <w:r>
        <w:rPr>
          <w:b w:val="0"/>
          <w:color w:val="auto"/>
        </w:rPr>
        <w:t>SWR and NWR</w:t>
      </w:r>
      <w:r w:rsidRPr="00AA659D">
        <w:rPr>
          <w:b w:val="0"/>
          <w:color w:val="auto"/>
        </w:rPr>
        <w:t>. A total of 217 samples were obtained from eight SWR populations, including 174 specimens taken from six wild subpopulations in South Africa and three museum specimens, the oldest of which dates to 1869 (</w:t>
      </w:r>
      <w:proofErr w:type="spellStart"/>
      <w:r w:rsidRPr="00AA659D">
        <w:rPr>
          <w:b w:val="0"/>
          <w:color w:val="auto"/>
        </w:rPr>
        <w:t>Robovský</w:t>
      </w:r>
      <w:proofErr w:type="spellEnd"/>
      <w:r w:rsidRPr="00AA659D">
        <w:rPr>
          <w:b w:val="0"/>
          <w:color w:val="auto"/>
        </w:rPr>
        <w:t xml:space="preserve"> </w:t>
      </w:r>
      <w:r>
        <w:rPr>
          <w:b w:val="0"/>
          <w:color w:val="auto"/>
        </w:rPr>
        <w:t>et al.</w:t>
      </w:r>
      <w:r w:rsidRPr="00AA659D">
        <w:rPr>
          <w:b w:val="0"/>
          <w:color w:val="auto"/>
        </w:rPr>
        <w:t xml:space="preserve"> 2010), prior to the SWR bottleneck of the late 1800s (</w:t>
      </w:r>
      <w:r>
        <w:rPr>
          <w:b w:val="0"/>
          <w:color w:val="auto"/>
        </w:rPr>
        <w:t xml:space="preserve">electronic supplementary material (ESM1, </w:t>
      </w:r>
      <w:r w:rsidRPr="00AA659D">
        <w:rPr>
          <w:b w:val="0"/>
          <w:color w:val="auto"/>
        </w:rPr>
        <w:t>Table S1). In addition</w:t>
      </w:r>
      <w:r>
        <w:rPr>
          <w:b w:val="0"/>
          <w:color w:val="auto"/>
        </w:rPr>
        <w:t>,</w:t>
      </w:r>
      <w:r w:rsidRPr="00AA659D">
        <w:rPr>
          <w:b w:val="0"/>
          <w:color w:val="auto"/>
        </w:rPr>
        <w:t xml:space="preserve"> 42 captive samples were obtained from zoological gardens and animal parks in Europe and Africa (</w:t>
      </w:r>
      <w:r>
        <w:rPr>
          <w:b w:val="0"/>
          <w:color w:val="auto"/>
        </w:rPr>
        <w:t xml:space="preserve">ESM1, </w:t>
      </w:r>
      <w:r w:rsidRPr="00AA659D">
        <w:rPr>
          <w:b w:val="0"/>
          <w:color w:val="auto"/>
        </w:rPr>
        <w:t>Table S2). Since the NWR is extinct in the wild, our wild sample compris</w:t>
      </w:r>
      <w:r>
        <w:rPr>
          <w:b w:val="0"/>
          <w:color w:val="auto"/>
        </w:rPr>
        <w:t>es</w:t>
      </w:r>
      <w:r w:rsidRPr="00AA659D">
        <w:rPr>
          <w:b w:val="0"/>
          <w:color w:val="auto"/>
        </w:rPr>
        <w:t xml:space="preserve"> 11 individuals </w:t>
      </w:r>
      <w:r>
        <w:rPr>
          <w:b w:val="0"/>
          <w:color w:val="auto"/>
        </w:rPr>
        <w:t xml:space="preserve">that were </w:t>
      </w:r>
      <w:r w:rsidRPr="00AA659D">
        <w:rPr>
          <w:b w:val="0"/>
          <w:color w:val="auto"/>
        </w:rPr>
        <w:t xml:space="preserve">obtained from museum specimens representing a large </w:t>
      </w:r>
      <w:r>
        <w:rPr>
          <w:b w:val="0"/>
          <w:color w:val="auto"/>
        </w:rPr>
        <w:t>part</w:t>
      </w:r>
      <w:r w:rsidRPr="00AA659D">
        <w:rPr>
          <w:b w:val="0"/>
          <w:color w:val="auto"/>
        </w:rPr>
        <w:t xml:space="preserve"> of </w:t>
      </w:r>
      <w:r>
        <w:rPr>
          <w:b w:val="0"/>
          <w:color w:val="auto"/>
        </w:rPr>
        <w:t>the</w:t>
      </w:r>
      <w:r w:rsidRPr="00AA659D">
        <w:rPr>
          <w:b w:val="0"/>
          <w:color w:val="auto"/>
        </w:rPr>
        <w:t xml:space="preserve"> former </w:t>
      </w:r>
      <w:r>
        <w:rPr>
          <w:b w:val="0"/>
          <w:color w:val="auto"/>
        </w:rPr>
        <w:t>distribution</w:t>
      </w:r>
      <w:r w:rsidRPr="00AA659D">
        <w:rPr>
          <w:b w:val="0"/>
          <w:color w:val="auto"/>
        </w:rPr>
        <w:t xml:space="preserve"> from north-eastern Belgian Congo (now DRC), Sudan and Uganda</w:t>
      </w:r>
      <w:r>
        <w:rPr>
          <w:b w:val="0"/>
          <w:color w:val="auto"/>
        </w:rPr>
        <w:t xml:space="preserve">. These samples were from animals </w:t>
      </w:r>
      <w:r w:rsidRPr="00AA659D">
        <w:rPr>
          <w:b w:val="0"/>
          <w:color w:val="auto"/>
        </w:rPr>
        <w:t>hunted between 1905 and 1912 (</w:t>
      </w:r>
      <w:r>
        <w:rPr>
          <w:b w:val="0"/>
          <w:color w:val="auto"/>
        </w:rPr>
        <w:t xml:space="preserve">ESM1, </w:t>
      </w:r>
      <w:r w:rsidRPr="00AA659D">
        <w:rPr>
          <w:b w:val="0"/>
          <w:color w:val="auto"/>
        </w:rPr>
        <w:t xml:space="preserve">Table S1). We also included 11 NWR samples from </w:t>
      </w:r>
      <w:r>
        <w:rPr>
          <w:b w:val="0"/>
          <w:color w:val="auto"/>
        </w:rPr>
        <w:t>captive</w:t>
      </w:r>
      <w:r w:rsidRPr="00AA659D">
        <w:rPr>
          <w:b w:val="0"/>
          <w:color w:val="auto"/>
        </w:rPr>
        <w:t xml:space="preserve"> animals (</w:t>
      </w:r>
      <w:r>
        <w:rPr>
          <w:b w:val="0"/>
          <w:color w:val="auto"/>
        </w:rPr>
        <w:t xml:space="preserve">ESM1, </w:t>
      </w:r>
      <w:r w:rsidRPr="00AA659D">
        <w:rPr>
          <w:b w:val="0"/>
          <w:color w:val="auto"/>
        </w:rPr>
        <w:t xml:space="preserve">Table S2). This population was founded by animals caught on the west bank of the Nile River in </w:t>
      </w:r>
      <w:r>
        <w:rPr>
          <w:b w:val="0"/>
          <w:color w:val="auto"/>
        </w:rPr>
        <w:t xml:space="preserve">the </w:t>
      </w:r>
      <w:proofErr w:type="spellStart"/>
      <w:r w:rsidRPr="00AA659D">
        <w:rPr>
          <w:b w:val="0"/>
          <w:color w:val="auto"/>
        </w:rPr>
        <w:t>Equatoria</w:t>
      </w:r>
      <w:proofErr w:type="spellEnd"/>
      <w:r w:rsidRPr="00AA659D">
        <w:rPr>
          <w:b w:val="0"/>
          <w:color w:val="auto"/>
        </w:rPr>
        <w:t xml:space="preserve"> province, Sudan (now South Sudan) and </w:t>
      </w:r>
      <w:r>
        <w:rPr>
          <w:b w:val="0"/>
          <w:color w:val="auto"/>
        </w:rPr>
        <w:t xml:space="preserve">the </w:t>
      </w:r>
      <w:r w:rsidRPr="00AA659D">
        <w:rPr>
          <w:b w:val="0"/>
          <w:color w:val="auto"/>
        </w:rPr>
        <w:t xml:space="preserve">West Nile province, Uganda between 1950 and 1970, when wild NWR were already declining. These captive NWR were managed at the </w:t>
      </w:r>
      <w:proofErr w:type="spellStart"/>
      <w:r w:rsidRPr="00AA659D">
        <w:rPr>
          <w:b w:val="0"/>
          <w:color w:val="auto"/>
          <w:lang w:val="en-US"/>
        </w:rPr>
        <w:t>Dvůr</w:t>
      </w:r>
      <w:proofErr w:type="spellEnd"/>
      <w:r w:rsidRPr="00AA659D">
        <w:rPr>
          <w:b w:val="0"/>
          <w:color w:val="auto"/>
          <w:lang w:val="en-US"/>
        </w:rPr>
        <w:t xml:space="preserve"> </w:t>
      </w:r>
      <w:proofErr w:type="spellStart"/>
      <w:r w:rsidRPr="00AA659D">
        <w:rPr>
          <w:b w:val="0"/>
          <w:color w:val="auto"/>
          <w:lang w:val="en-US"/>
        </w:rPr>
        <w:t>Králové</w:t>
      </w:r>
      <w:proofErr w:type="spellEnd"/>
      <w:r w:rsidRPr="00AA659D">
        <w:rPr>
          <w:b w:val="0"/>
          <w:color w:val="auto"/>
          <w:lang w:val="en-US"/>
        </w:rPr>
        <w:t xml:space="preserve"> </w:t>
      </w:r>
      <w:r w:rsidRPr="00AA659D">
        <w:rPr>
          <w:b w:val="0"/>
          <w:color w:val="auto"/>
        </w:rPr>
        <w:t>Zoo (DK) in the Czech Republic and the San Diego Wildlife and Animal Park (SD) in the USA</w:t>
      </w:r>
      <w:r>
        <w:rPr>
          <w:b w:val="0"/>
          <w:color w:val="auto"/>
        </w:rPr>
        <w:t>. T</w:t>
      </w:r>
      <w:r w:rsidRPr="00AA659D">
        <w:rPr>
          <w:b w:val="0"/>
          <w:color w:val="auto"/>
        </w:rPr>
        <w:t xml:space="preserve">he population has since declined such that only three individuals remain. </w:t>
      </w:r>
      <w:r>
        <w:rPr>
          <w:b w:val="0"/>
          <w:color w:val="auto"/>
        </w:rPr>
        <w:t>The</w:t>
      </w:r>
      <w:r w:rsidRPr="00AA659D">
        <w:rPr>
          <w:b w:val="0"/>
          <w:color w:val="auto"/>
        </w:rPr>
        <w:t xml:space="preserve"> captive NWR sample of 11 (7 DK, 4 SD), comprise</w:t>
      </w:r>
      <w:r>
        <w:rPr>
          <w:b w:val="0"/>
          <w:color w:val="auto"/>
        </w:rPr>
        <w:t>s</w:t>
      </w:r>
      <w:r w:rsidRPr="00AA659D">
        <w:rPr>
          <w:b w:val="0"/>
          <w:color w:val="auto"/>
        </w:rPr>
        <w:t xml:space="preserve"> six of the original founders (Sudan, </w:t>
      </w:r>
      <w:proofErr w:type="spellStart"/>
      <w:r w:rsidRPr="00AA659D">
        <w:rPr>
          <w:b w:val="0"/>
          <w:color w:val="auto"/>
        </w:rPr>
        <w:t>Angalifu</w:t>
      </w:r>
      <w:proofErr w:type="spellEnd"/>
      <w:r w:rsidRPr="00AA659D">
        <w:rPr>
          <w:b w:val="0"/>
          <w:color w:val="auto"/>
        </w:rPr>
        <w:t xml:space="preserve">, </w:t>
      </w:r>
      <w:proofErr w:type="spellStart"/>
      <w:r w:rsidRPr="00AA659D">
        <w:rPr>
          <w:b w:val="0"/>
          <w:color w:val="auto"/>
        </w:rPr>
        <w:t>Saut</w:t>
      </w:r>
      <w:proofErr w:type="spellEnd"/>
      <w:r w:rsidRPr="00AA659D">
        <w:rPr>
          <w:b w:val="0"/>
          <w:color w:val="auto"/>
        </w:rPr>
        <w:t xml:space="preserve">, Lucy, Dinka and Nola) </w:t>
      </w:r>
      <w:r>
        <w:rPr>
          <w:b w:val="0"/>
          <w:color w:val="auto"/>
        </w:rPr>
        <w:t xml:space="preserve">and </w:t>
      </w:r>
      <w:proofErr w:type="spellStart"/>
      <w:r>
        <w:rPr>
          <w:b w:val="0"/>
          <w:color w:val="auto"/>
        </w:rPr>
        <w:t>Nasi</w:t>
      </w:r>
      <w:proofErr w:type="spellEnd"/>
      <w:r>
        <w:rPr>
          <w:b w:val="0"/>
          <w:color w:val="auto"/>
        </w:rPr>
        <w:t xml:space="preserve">, </w:t>
      </w:r>
      <w:proofErr w:type="spellStart"/>
      <w:r>
        <w:rPr>
          <w:b w:val="0"/>
          <w:color w:val="auto"/>
        </w:rPr>
        <w:t>Suni</w:t>
      </w:r>
      <w:proofErr w:type="spellEnd"/>
      <w:r>
        <w:rPr>
          <w:b w:val="0"/>
          <w:color w:val="auto"/>
        </w:rPr>
        <w:t xml:space="preserve">, </w:t>
      </w:r>
      <w:proofErr w:type="spellStart"/>
      <w:r>
        <w:rPr>
          <w:b w:val="0"/>
          <w:color w:val="auto"/>
        </w:rPr>
        <w:t>Nabire</w:t>
      </w:r>
      <w:proofErr w:type="spellEnd"/>
      <w:r>
        <w:rPr>
          <w:b w:val="0"/>
          <w:color w:val="auto"/>
        </w:rPr>
        <w:t xml:space="preserve"> and </w:t>
      </w:r>
      <w:proofErr w:type="spellStart"/>
      <w:r>
        <w:rPr>
          <w:b w:val="0"/>
          <w:color w:val="auto"/>
        </w:rPr>
        <w:t>Najin</w:t>
      </w:r>
      <w:proofErr w:type="spellEnd"/>
      <w:r>
        <w:rPr>
          <w:b w:val="0"/>
          <w:color w:val="auto"/>
        </w:rPr>
        <w:t xml:space="preserve"> which are daughters of </w:t>
      </w:r>
      <w:proofErr w:type="spellStart"/>
      <w:r>
        <w:rPr>
          <w:b w:val="0"/>
          <w:color w:val="auto"/>
        </w:rPr>
        <w:t>Nasima</w:t>
      </w:r>
      <w:proofErr w:type="spellEnd"/>
      <w:r>
        <w:rPr>
          <w:b w:val="0"/>
          <w:color w:val="auto"/>
        </w:rPr>
        <w:t xml:space="preserve"> (another founder from Uganda)</w:t>
      </w:r>
      <w:r w:rsidRPr="00AA659D">
        <w:rPr>
          <w:b w:val="0"/>
          <w:color w:val="auto"/>
        </w:rPr>
        <w:t>.</w:t>
      </w:r>
      <w:r>
        <w:rPr>
          <w:b w:val="0"/>
          <w:color w:val="auto"/>
        </w:rPr>
        <w:t xml:space="preserve"> </w:t>
      </w:r>
      <w:r w:rsidRPr="00AA659D">
        <w:rPr>
          <w:b w:val="0"/>
          <w:color w:val="auto"/>
        </w:rPr>
        <w:t>Nasi</w:t>
      </w:r>
      <w:r>
        <w:rPr>
          <w:b w:val="0"/>
          <w:color w:val="auto"/>
        </w:rPr>
        <w:t xml:space="preserve"> is </w:t>
      </w:r>
      <w:r w:rsidRPr="00AA659D">
        <w:rPr>
          <w:b w:val="0"/>
          <w:color w:val="auto"/>
        </w:rPr>
        <w:t>the only known SWR-NWR hybrid.</w:t>
      </w:r>
      <w:r w:rsidRPr="00F87F87">
        <w:t xml:space="preserve"> </w:t>
      </w:r>
    </w:p>
    <w:p w:rsidR="001F0DF0" w:rsidRDefault="001F0DF0" w:rsidP="001F0DF0">
      <w:pPr>
        <w:pStyle w:val="FWFHeading2"/>
        <w:spacing w:line="360" w:lineRule="auto"/>
        <w:jc w:val="both"/>
      </w:pPr>
    </w:p>
    <w:p w:rsidR="001F0DF0" w:rsidRPr="00AA659D" w:rsidRDefault="001F0DF0" w:rsidP="001F0DF0">
      <w:pPr>
        <w:pStyle w:val="FWFHeading2"/>
        <w:spacing w:line="360" w:lineRule="auto"/>
        <w:jc w:val="both"/>
        <w:outlineLvl w:val="0"/>
        <w:rPr>
          <w:color w:val="auto"/>
        </w:rPr>
      </w:pPr>
      <w:r>
        <w:rPr>
          <w:b w:val="0"/>
          <w:color w:val="auto"/>
        </w:rPr>
        <w:t xml:space="preserve">2. </w:t>
      </w:r>
      <w:r w:rsidRPr="00AA659D">
        <w:rPr>
          <w:b w:val="0"/>
          <w:color w:val="auto"/>
        </w:rPr>
        <w:t>Molecular methods</w:t>
      </w:r>
    </w:p>
    <w:p w:rsidR="001F0DF0" w:rsidRPr="0011613D" w:rsidRDefault="001F0DF0" w:rsidP="001F0DF0">
      <w:pPr>
        <w:spacing w:line="360" w:lineRule="auto"/>
        <w:jc w:val="both"/>
        <w:rPr>
          <w:rFonts w:ascii="Arial" w:hAnsi="Arial" w:cs="Arial"/>
          <w:lang w:val="en-US"/>
        </w:rPr>
      </w:pPr>
      <w:r w:rsidRPr="00390FA3">
        <w:rPr>
          <w:rFonts w:ascii="Arial" w:hAnsi="Arial" w:cs="Arial"/>
          <w:lang w:val="en-US"/>
        </w:rPr>
        <w:t xml:space="preserve">Museum samples (~250 </w:t>
      </w:r>
      <w:proofErr w:type="spellStart"/>
      <w:r w:rsidRPr="00390FA3">
        <w:rPr>
          <w:rFonts w:ascii="Arial" w:hAnsi="Arial" w:cs="Arial"/>
          <w:lang w:val="en-US"/>
        </w:rPr>
        <w:t>μg</w:t>
      </w:r>
      <w:proofErr w:type="spellEnd"/>
      <w:r w:rsidRPr="00390FA3">
        <w:rPr>
          <w:rFonts w:ascii="Arial" w:hAnsi="Arial" w:cs="Arial"/>
          <w:lang w:val="en-US"/>
        </w:rPr>
        <w:t xml:space="preserve">) were rehydrated for 48 hours in distilled water. DNA was then extracted in an ancient DNA laboratory at the Konrad Lorenz Institute in Vienna according to the protocol outlined in </w:t>
      </w:r>
      <w:proofErr w:type="spellStart"/>
      <w:r w:rsidRPr="00390FA3">
        <w:rPr>
          <w:rFonts w:ascii="Arial" w:hAnsi="Arial" w:cs="Arial"/>
          <w:lang w:val="en-US"/>
        </w:rPr>
        <w:t>Rohland</w:t>
      </w:r>
      <w:proofErr w:type="spellEnd"/>
      <w:r w:rsidRPr="00390FA3">
        <w:rPr>
          <w:rFonts w:ascii="Arial" w:hAnsi="Arial" w:cs="Arial"/>
          <w:lang w:val="en-US"/>
        </w:rPr>
        <w:t xml:space="preserve"> </w:t>
      </w:r>
      <w:r w:rsidRPr="00390FA3">
        <w:rPr>
          <w:rFonts w:ascii="Arial" w:hAnsi="Arial" w:cs="Arial"/>
          <w:i/>
          <w:lang w:val="en-US"/>
        </w:rPr>
        <w:t>et al.</w:t>
      </w:r>
      <w:r w:rsidRPr="00390FA3">
        <w:rPr>
          <w:rFonts w:ascii="Arial" w:hAnsi="Arial" w:cs="Arial"/>
          <w:lang w:val="en-US"/>
        </w:rPr>
        <w:t xml:space="preserve"> (2010). All modern samples were extracted using a DNeasy</w:t>
      </w:r>
      <w:r w:rsidRPr="00390FA3">
        <w:rPr>
          <w:rFonts w:ascii="Arial" w:hAnsi="Arial" w:cs="Arial"/>
          <w:vertAlign w:val="superscript"/>
          <w:lang w:val="en-US"/>
        </w:rPr>
        <w:t>®</w:t>
      </w:r>
      <w:r w:rsidRPr="00390FA3">
        <w:rPr>
          <w:rFonts w:ascii="Arial" w:hAnsi="Arial" w:cs="Arial"/>
          <w:lang w:val="en-US"/>
        </w:rPr>
        <w:t xml:space="preserve"> Tissue Kit (QIAGEN</w:t>
      </w:r>
      <w:r w:rsidRPr="00390FA3">
        <w:rPr>
          <w:rFonts w:ascii="Arial" w:hAnsi="Arial" w:cs="Arial"/>
          <w:vertAlign w:val="superscript"/>
          <w:lang w:val="en-US"/>
        </w:rPr>
        <w:t>®</w:t>
      </w:r>
      <w:r w:rsidRPr="00390FA3">
        <w:rPr>
          <w:rFonts w:ascii="Arial" w:hAnsi="Arial" w:cs="Arial"/>
          <w:lang w:val="en-US"/>
        </w:rPr>
        <w:t xml:space="preserve"> Hilden, Germany) following the manufacturer’s instructions.</w:t>
      </w:r>
      <w:r>
        <w:rPr>
          <w:rFonts w:ascii="Arial" w:hAnsi="Arial" w:cs="Arial"/>
          <w:lang w:val="en-US"/>
        </w:rPr>
        <w:t xml:space="preserve"> </w:t>
      </w:r>
      <w:r w:rsidRPr="00AA659D">
        <w:rPr>
          <w:rFonts w:ascii="Arial" w:hAnsi="Arial" w:cs="Arial"/>
          <w:lang w:val="en-US"/>
        </w:rPr>
        <w:t>The 5’ end of the control region using primers mt15996L (5’-TCCACCATCAGCACCCAAAGC-3’</w:t>
      </w:r>
      <w:proofErr w:type="gramStart"/>
      <w:r w:rsidRPr="00AA659D">
        <w:rPr>
          <w:rFonts w:ascii="Arial" w:hAnsi="Arial" w:cs="Arial"/>
          <w:lang w:val="en-US"/>
        </w:rPr>
        <w:t>)</w:t>
      </w:r>
      <w:r w:rsidRPr="00AA659D">
        <w:rPr>
          <w:rFonts w:ascii="Arial" w:hAnsi="Arial" w:cs="Arial"/>
          <w:vertAlign w:val="superscript"/>
          <w:lang w:val="en-US"/>
        </w:rPr>
        <w:t>5</w:t>
      </w:r>
      <w:proofErr w:type="gramEnd"/>
      <w:r w:rsidRPr="00AA659D">
        <w:rPr>
          <w:rFonts w:ascii="Arial" w:hAnsi="Arial" w:cs="Arial"/>
          <w:lang w:val="en-US"/>
        </w:rPr>
        <w:t xml:space="preserve"> and mt16502H (5’-TTTGATGGCCCTGAAGTAAGAACCA-3’) were used to amplify a </w:t>
      </w:r>
      <w:r w:rsidRPr="00AA659D">
        <w:rPr>
          <w:rFonts w:ascii="Arial" w:hAnsi="Arial" w:cs="Arial"/>
        </w:rPr>
        <w:t xml:space="preserve">477 </w:t>
      </w:r>
      <w:proofErr w:type="spellStart"/>
      <w:r w:rsidRPr="00AA659D">
        <w:rPr>
          <w:rFonts w:ascii="Arial" w:hAnsi="Arial" w:cs="Arial"/>
        </w:rPr>
        <w:t>bp</w:t>
      </w:r>
      <w:proofErr w:type="spellEnd"/>
      <w:r w:rsidRPr="00AA659D">
        <w:rPr>
          <w:rFonts w:ascii="Arial" w:hAnsi="Arial" w:cs="Arial"/>
        </w:rPr>
        <w:t xml:space="preserve"> fragment of the control region.</w:t>
      </w:r>
      <w:r>
        <w:rPr>
          <w:rFonts w:ascii="Arial" w:hAnsi="Arial" w:cs="Arial"/>
        </w:rPr>
        <w:t xml:space="preserve"> </w:t>
      </w:r>
      <w:r w:rsidRPr="00AA659D">
        <w:rPr>
          <w:rFonts w:ascii="Arial" w:hAnsi="Arial" w:cs="Arial"/>
          <w:lang w:val="en-US"/>
        </w:rPr>
        <w:t>Polymerase chain reactions (PCR) was carried out using 50-100</w:t>
      </w:r>
      <w:r>
        <w:rPr>
          <w:rFonts w:ascii="Arial" w:hAnsi="Arial" w:cs="Arial"/>
          <w:lang w:val="en-US"/>
        </w:rPr>
        <w:t xml:space="preserve"> </w:t>
      </w:r>
      <w:r w:rsidRPr="00AA659D">
        <w:rPr>
          <w:rFonts w:ascii="Arial" w:hAnsi="Arial" w:cs="Arial"/>
          <w:lang w:val="en-US"/>
        </w:rPr>
        <w:t>ng/μl of DNA in a 25</w:t>
      </w:r>
      <w:r>
        <w:rPr>
          <w:rFonts w:ascii="Arial" w:hAnsi="Arial" w:cs="Arial"/>
          <w:lang w:val="en-US"/>
        </w:rPr>
        <w:t xml:space="preserve"> </w:t>
      </w:r>
      <w:r w:rsidRPr="00AA659D">
        <w:rPr>
          <w:rFonts w:ascii="Arial" w:hAnsi="Arial" w:cs="Arial"/>
          <w:lang w:val="en-US"/>
        </w:rPr>
        <w:t>μl reaction containing 1x PCR buffer, 3</w:t>
      </w:r>
      <w:r>
        <w:rPr>
          <w:rFonts w:ascii="Arial" w:hAnsi="Arial" w:cs="Arial"/>
          <w:lang w:val="en-US"/>
        </w:rPr>
        <w:t xml:space="preserve"> </w:t>
      </w:r>
      <w:proofErr w:type="spellStart"/>
      <w:r w:rsidRPr="00AA659D">
        <w:rPr>
          <w:rFonts w:ascii="Arial" w:hAnsi="Arial" w:cs="Arial"/>
          <w:lang w:val="en-US"/>
        </w:rPr>
        <w:t>mM</w:t>
      </w:r>
      <w:proofErr w:type="spellEnd"/>
      <w:r w:rsidRPr="00AA659D">
        <w:rPr>
          <w:rFonts w:ascii="Arial" w:hAnsi="Arial" w:cs="Arial"/>
          <w:lang w:val="en-US"/>
        </w:rPr>
        <w:t xml:space="preserve"> MgCl</w:t>
      </w:r>
      <w:r w:rsidRPr="00AA659D">
        <w:rPr>
          <w:rFonts w:ascii="Arial" w:hAnsi="Arial" w:cs="Arial"/>
          <w:vertAlign w:val="subscript"/>
          <w:lang w:val="en-US"/>
        </w:rPr>
        <w:t>2</w:t>
      </w:r>
      <w:r>
        <w:rPr>
          <w:rFonts w:ascii="Arial" w:hAnsi="Arial" w:cs="Arial"/>
          <w:lang w:val="en-US"/>
        </w:rPr>
        <w:t xml:space="preserve">, 0.2 </w:t>
      </w:r>
      <w:proofErr w:type="spellStart"/>
      <w:r>
        <w:rPr>
          <w:rFonts w:ascii="Arial" w:hAnsi="Arial" w:cs="Arial"/>
          <w:lang w:val="en-US"/>
        </w:rPr>
        <w:t>mM</w:t>
      </w:r>
      <w:proofErr w:type="spellEnd"/>
      <w:r>
        <w:rPr>
          <w:rFonts w:ascii="Arial" w:hAnsi="Arial" w:cs="Arial"/>
          <w:lang w:val="en-US"/>
        </w:rPr>
        <w:t xml:space="preserve"> of each d</w:t>
      </w:r>
      <w:r w:rsidRPr="00AA659D">
        <w:rPr>
          <w:rFonts w:ascii="Arial" w:hAnsi="Arial" w:cs="Arial"/>
          <w:lang w:val="en-US"/>
        </w:rPr>
        <w:t xml:space="preserve">NTP, 0.1 mg/μl purified BSA (New England </w:t>
      </w:r>
      <w:proofErr w:type="spellStart"/>
      <w:r w:rsidRPr="00AA659D">
        <w:rPr>
          <w:rFonts w:ascii="Arial" w:hAnsi="Arial" w:cs="Arial"/>
          <w:lang w:val="en-US"/>
        </w:rPr>
        <w:t>BioLabs</w:t>
      </w:r>
      <w:proofErr w:type="spellEnd"/>
      <w:r w:rsidRPr="00AA659D">
        <w:rPr>
          <w:rFonts w:ascii="Arial" w:hAnsi="Arial" w:cs="Arial"/>
          <w:lang w:val="en-US"/>
        </w:rPr>
        <w:t>), 0.2</w:t>
      </w:r>
      <w:r>
        <w:rPr>
          <w:rFonts w:ascii="Arial" w:hAnsi="Arial" w:cs="Arial"/>
          <w:lang w:val="en-US"/>
        </w:rPr>
        <w:t xml:space="preserve"> </w:t>
      </w:r>
      <w:proofErr w:type="spellStart"/>
      <w:r w:rsidRPr="00AA659D">
        <w:rPr>
          <w:rFonts w:ascii="Arial" w:hAnsi="Arial" w:cs="Arial"/>
          <w:lang w:val="en-US"/>
        </w:rPr>
        <w:t>μM</w:t>
      </w:r>
      <w:proofErr w:type="spellEnd"/>
      <w:r w:rsidRPr="00AA659D">
        <w:rPr>
          <w:rFonts w:ascii="Arial" w:hAnsi="Arial" w:cs="Arial"/>
          <w:lang w:val="en-US"/>
        </w:rPr>
        <w:t xml:space="preserve"> of each primer and 1.25</w:t>
      </w:r>
      <w:r>
        <w:rPr>
          <w:rFonts w:ascii="Arial" w:hAnsi="Arial" w:cs="Arial"/>
          <w:lang w:val="en-US"/>
        </w:rPr>
        <w:t xml:space="preserve"> </w:t>
      </w:r>
      <w:r w:rsidRPr="00AA659D">
        <w:rPr>
          <w:rFonts w:ascii="Arial" w:hAnsi="Arial" w:cs="Arial"/>
          <w:lang w:val="en-US"/>
        </w:rPr>
        <w:t xml:space="preserve">U </w:t>
      </w:r>
      <w:proofErr w:type="spellStart"/>
      <w:r w:rsidRPr="00AA659D">
        <w:rPr>
          <w:rFonts w:ascii="Arial" w:hAnsi="Arial" w:cs="Arial"/>
          <w:lang w:val="en-US"/>
        </w:rPr>
        <w:t>Amplitaq</w:t>
      </w:r>
      <w:proofErr w:type="spellEnd"/>
      <w:r w:rsidRPr="00AA659D">
        <w:rPr>
          <w:rFonts w:ascii="Arial" w:hAnsi="Arial" w:cs="Arial"/>
          <w:lang w:val="en-US"/>
        </w:rPr>
        <w:t xml:space="preserve"> Gold DNA polymerase (Promega). The following PCR conditions were </w:t>
      </w:r>
      <w:r>
        <w:rPr>
          <w:rFonts w:ascii="Arial" w:hAnsi="Arial" w:cs="Arial"/>
          <w:lang w:val="en-US"/>
        </w:rPr>
        <w:t>used: 95</w:t>
      </w:r>
      <w:r w:rsidRPr="00AA659D">
        <w:rPr>
          <w:rFonts w:ascii="Arial" w:hAnsi="Arial" w:cs="Arial"/>
          <w:lang w:val="en-US"/>
        </w:rPr>
        <w:t xml:space="preserve">°C for 5 </w:t>
      </w:r>
      <w:r>
        <w:rPr>
          <w:rFonts w:ascii="Arial" w:hAnsi="Arial" w:cs="Arial"/>
          <w:lang w:val="en-US"/>
        </w:rPr>
        <w:t>min followed by 45 cycles of 94°C for 30 sec, 60°C for 1 min, 72</w:t>
      </w:r>
      <w:r w:rsidRPr="00AA659D">
        <w:rPr>
          <w:rFonts w:ascii="Arial" w:hAnsi="Arial" w:cs="Arial"/>
          <w:lang w:val="en-US"/>
        </w:rPr>
        <w:t xml:space="preserve">°C for 1 min, </w:t>
      </w:r>
      <w:r>
        <w:rPr>
          <w:rFonts w:ascii="Arial" w:hAnsi="Arial" w:cs="Arial"/>
          <w:lang w:val="en-US"/>
        </w:rPr>
        <w:t>and 72</w:t>
      </w:r>
      <w:r w:rsidRPr="00AA659D">
        <w:rPr>
          <w:rFonts w:ascii="Arial" w:hAnsi="Arial" w:cs="Arial"/>
          <w:lang w:val="en-US"/>
        </w:rPr>
        <w:t xml:space="preserve">°C for 10 min. All museum samples were amplified/sequenced at least twice </w:t>
      </w:r>
      <w:r>
        <w:rPr>
          <w:rFonts w:ascii="Arial" w:hAnsi="Arial" w:cs="Arial"/>
          <w:lang w:val="en-US"/>
        </w:rPr>
        <w:t xml:space="preserve">in both directions, </w:t>
      </w:r>
      <w:r w:rsidRPr="00AA659D">
        <w:rPr>
          <w:rFonts w:ascii="Arial" w:hAnsi="Arial" w:cs="Arial"/>
          <w:lang w:val="en-US"/>
        </w:rPr>
        <w:t>for consistency. Sequencing reactions were run through an ABI 3130</w:t>
      </w:r>
      <w:r w:rsidRPr="00AA659D">
        <w:rPr>
          <w:rFonts w:ascii="Arial" w:hAnsi="Arial" w:cs="Arial"/>
          <w:i/>
          <w:lang w:val="en-US"/>
        </w:rPr>
        <w:t>xl</w:t>
      </w:r>
      <w:r w:rsidRPr="00AA659D">
        <w:rPr>
          <w:rFonts w:ascii="Arial" w:hAnsi="Arial" w:cs="Arial"/>
          <w:lang w:val="en-US"/>
        </w:rPr>
        <w:t xml:space="preserve"> Genetic Analyser and sequences were trimmed and </w:t>
      </w:r>
      <w:r w:rsidRPr="00AA659D">
        <w:rPr>
          <w:rFonts w:ascii="Arial" w:hAnsi="Arial" w:cs="Arial"/>
          <w:lang w:val="en-US"/>
        </w:rPr>
        <w:lastRenderedPageBreak/>
        <w:t xml:space="preserve">aligned in CLC DNA Workbench (CLC Biotech, Qiagen Aarhus). We also followed the protocol and </w:t>
      </w:r>
      <w:r w:rsidRPr="0013024C">
        <w:rPr>
          <w:rFonts w:ascii="Arial" w:hAnsi="Arial" w:cs="Arial"/>
          <w:lang w:val="en-US"/>
        </w:rPr>
        <w:t xml:space="preserve">used the primers designed in Moodley et al. </w:t>
      </w:r>
      <w:r>
        <w:rPr>
          <w:rFonts w:ascii="Arial" w:hAnsi="Arial" w:cs="Arial"/>
          <w:lang w:val="en-US"/>
        </w:rPr>
        <w:t>(</w:t>
      </w:r>
      <w:r w:rsidRPr="0013024C">
        <w:rPr>
          <w:rFonts w:ascii="Arial" w:hAnsi="Arial" w:cs="Arial"/>
          <w:lang w:val="en-US"/>
        </w:rPr>
        <w:t>2017</w:t>
      </w:r>
      <w:r>
        <w:rPr>
          <w:rFonts w:ascii="Arial" w:hAnsi="Arial" w:cs="Arial"/>
          <w:lang w:val="en-US"/>
        </w:rPr>
        <w:t>)</w:t>
      </w:r>
      <w:r w:rsidRPr="0013024C">
        <w:rPr>
          <w:rFonts w:ascii="Arial" w:hAnsi="Arial" w:cs="Arial"/>
          <w:lang w:val="en-US"/>
        </w:rPr>
        <w:t xml:space="preserve"> for the least tractable museum samples. </w:t>
      </w:r>
      <w:r w:rsidRPr="00592FCB">
        <w:rPr>
          <w:rFonts w:ascii="Arial" w:hAnsi="Arial" w:cs="Arial"/>
        </w:rPr>
        <w:t>DNA sequence quality was checked by eye and all mutations in the combined alignment were again checked against sequence chromatograms.</w:t>
      </w:r>
    </w:p>
    <w:p w:rsidR="001F0DF0" w:rsidRPr="00C1469A" w:rsidRDefault="001F0DF0" w:rsidP="001F0DF0">
      <w:pPr>
        <w:shd w:val="clear" w:color="auto" w:fill="FFFFFF"/>
        <w:tabs>
          <w:tab w:val="left" w:pos="993"/>
        </w:tabs>
        <w:spacing w:after="0" w:line="360" w:lineRule="auto"/>
        <w:jc w:val="both"/>
        <w:rPr>
          <w:rFonts w:ascii="Arial" w:eastAsia="Times New Roman" w:hAnsi="Arial" w:cs="Arial"/>
          <w:color w:val="000000" w:themeColor="text1"/>
          <w:lang w:val="en-US"/>
        </w:rPr>
      </w:pPr>
      <w:r w:rsidRPr="004635FB">
        <w:rPr>
          <w:rFonts w:ascii="Arial" w:hAnsi="Arial" w:cs="Arial"/>
        </w:rPr>
        <w:t>Samples</w:t>
      </w:r>
      <w:r w:rsidRPr="004635FB">
        <w:rPr>
          <w:rFonts w:ascii="Arial" w:hAnsi="Arial" w:cs="Arial"/>
          <w:lang w:val="en-US"/>
        </w:rPr>
        <w:t xml:space="preserve"> were also amplified for 10 microsatellite loci (ESM1, Table S4). Amplifications were carried out in 10 μl using 50-100 ng/μl of DNA with 5μl of QIAGEN Multiplex PCR Master Mix, 0.1μl of 0.001 mg/μl purified BSA (New England </w:t>
      </w:r>
      <w:proofErr w:type="spellStart"/>
      <w:r w:rsidRPr="004635FB">
        <w:rPr>
          <w:rFonts w:ascii="Arial" w:hAnsi="Arial" w:cs="Arial"/>
          <w:lang w:val="en-US"/>
        </w:rPr>
        <w:t>BioLabs</w:t>
      </w:r>
      <w:proofErr w:type="spellEnd"/>
      <w:r w:rsidRPr="004635FB">
        <w:rPr>
          <w:rFonts w:ascii="Arial" w:hAnsi="Arial" w:cs="Arial"/>
          <w:lang w:val="en-US"/>
        </w:rPr>
        <w:t xml:space="preserve">; 10 mg/ml) and 0.2μM of each of the forward and reverse primers. Primers DB44, DB49 and DB52 were amplified in multiplex using as follows: 95ºC for 15 min, followed by 40 cycles at 94ºC for 0.5 min, annealing at 64ºC for 1.0 min, 72ºC for 1.0 min and 72ºC for 30 min. Primers DB1, DB66 and BR6 were amplified in a </w:t>
      </w:r>
      <w:proofErr w:type="spellStart"/>
      <w:r w:rsidRPr="004635FB">
        <w:rPr>
          <w:rFonts w:ascii="Arial" w:hAnsi="Arial" w:cs="Arial"/>
          <w:lang w:val="en-US"/>
        </w:rPr>
        <w:t>singleplex</w:t>
      </w:r>
      <w:proofErr w:type="spellEnd"/>
      <w:r w:rsidRPr="004635FB">
        <w:rPr>
          <w:rFonts w:ascii="Arial" w:hAnsi="Arial" w:cs="Arial"/>
          <w:lang w:val="en-US"/>
        </w:rPr>
        <w:t xml:space="preserve"> as above with annealing temperatures of 60ºC, 55ºC and 49ºC, respectively. Primers SW35, RHI32A, RH17B and RH17C were amplified in multiplex using a touchdown PCR: 95 ºC for 15 min, followed by 10 cycles of 0.5 min at 94ºC, 0.5 min at 48ºC and 0.5 min at 72ºC; 10 cycles with an annealing temperature at 44ºC and 20 cycles with an annealing temperature at 40ºC, followed by 72ºC for 30 min.</w:t>
      </w:r>
      <w:r>
        <w:rPr>
          <w:rFonts w:ascii="Arial" w:hAnsi="Arial" w:cs="Arial"/>
          <w:color w:val="000000" w:themeColor="text1"/>
          <w:lang w:val="en-US"/>
        </w:rPr>
        <w:t xml:space="preserve"> E</w:t>
      </w:r>
      <w:r w:rsidRPr="004635FB">
        <w:rPr>
          <w:rFonts w:ascii="Arial" w:eastAsia="Times New Roman" w:hAnsi="Arial" w:cs="Arial"/>
          <w:color w:val="000000" w:themeColor="text1"/>
          <w:lang w:val="en-US"/>
        </w:rPr>
        <w:t>ach individual was genotyped twice</w:t>
      </w:r>
      <w:r>
        <w:rPr>
          <w:rFonts w:ascii="Arial" w:eastAsia="Times New Roman" w:hAnsi="Arial" w:cs="Arial"/>
          <w:color w:val="000000" w:themeColor="text1"/>
          <w:lang w:val="en-US"/>
        </w:rPr>
        <w:t xml:space="preserve"> for the historical samples</w:t>
      </w:r>
      <w:r w:rsidRPr="004635FB">
        <w:rPr>
          <w:rFonts w:ascii="Arial" w:eastAsia="Times New Roman" w:hAnsi="Arial" w:cs="Arial"/>
          <w:color w:val="000000" w:themeColor="text1"/>
          <w:lang w:val="en-US"/>
        </w:rPr>
        <w:t>. If both genotypes matched each other exactly we considered the alleles reliable. If alleles did not match, we performed another PCR on the same sample. The error rate (the number of times a PCR failed) was 20% in each round of PCRs.</w:t>
      </w:r>
    </w:p>
    <w:p w:rsidR="001F0DF0" w:rsidRPr="00AA659D" w:rsidRDefault="001F0DF0" w:rsidP="001F0DF0">
      <w:pPr>
        <w:pStyle w:val="FWFHeading2"/>
        <w:spacing w:after="0" w:line="360" w:lineRule="auto"/>
        <w:jc w:val="both"/>
        <w:rPr>
          <w:b w:val="0"/>
          <w:color w:val="auto"/>
          <w:lang w:val="en-US"/>
        </w:rPr>
      </w:pPr>
    </w:p>
    <w:p w:rsidR="001F0DF0" w:rsidRPr="00AA659D" w:rsidRDefault="001F0DF0" w:rsidP="001F0DF0">
      <w:pPr>
        <w:pStyle w:val="FWFHeading2"/>
        <w:spacing w:after="0" w:line="360" w:lineRule="auto"/>
        <w:jc w:val="both"/>
        <w:rPr>
          <w:b w:val="0"/>
          <w:color w:val="auto"/>
        </w:rPr>
      </w:pPr>
      <w:r>
        <w:rPr>
          <w:b w:val="0"/>
          <w:color w:val="auto"/>
          <w:lang w:val="en-US"/>
        </w:rPr>
        <w:t>Microsatellite</w:t>
      </w:r>
      <w:r w:rsidRPr="00AA659D">
        <w:rPr>
          <w:b w:val="0"/>
          <w:color w:val="auto"/>
          <w:lang w:val="en-US"/>
        </w:rPr>
        <w:t xml:space="preserve"> </w:t>
      </w:r>
      <w:r>
        <w:rPr>
          <w:b w:val="0"/>
          <w:color w:val="auto"/>
          <w:lang w:val="en-US"/>
        </w:rPr>
        <w:t>fragments</w:t>
      </w:r>
      <w:r w:rsidRPr="00AA659D">
        <w:rPr>
          <w:b w:val="0"/>
          <w:color w:val="auto"/>
          <w:lang w:val="en-US"/>
        </w:rPr>
        <w:t xml:space="preserve"> were scored by eye in GeneMarker v 1.91 (SoftGenetics LLC) and rechecked independent</w:t>
      </w:r>
      <w:r>
        <w:rPr>
          <w:b w:val="0"/>
          <w:color w:val="auto"/>
          <w:lang w:val="en-US"/>
        </w:rPr>
        <w:t>ly</w:t>
      </w:r>
      <w:r w:rsidRPr="00AA659D">
        <w:rPr>
          <w:b w:val="0"/>
          <w:color w:val="auto"/>
          <w:lang w:val="en-US"/>
        </w:rPr>
        <w:t xml:space="preserve">. </w:t>
      </w:r>
      <w:r>
        <w:rPr>
          <w:b w:val="0"/>
          <w:color w:val="auto"/>
          <w:lang w:val="en-US"/>
        </w:rPr>
        <w:t>To cross-</w:t>
      </w:r>
      <w:r w:rsidRPr="00AA659D">
        <w:rPr>
          <w:b w:val="0"/>
          <w:color w:val="auto"/>
          <w:lang w:val="en-US"/>
        </w:rPr>
        <w:t xml:space="preserve">calibrate data sets, DNA samples from published specimens were electrophoresed together with samples collected for this study and all museum specimens were re-amplified at least three times to confirm allele scores. </w:t>
      </w:r>
      <w:r w:rsidRPr="00E40EA4">
        <w:rPr>
          <w:b w:val="0"/>
          <w:color w:val="auto"/>
          <w:lang w:val="en-US"/>
        </w:rPr>
        <w:t xml:space="preserve">The final data set comprised 231 individuals. Data were </w:t>
      </w:r>
      <w:proofErr w:type="spellStart"/>
      <w:r w:rsidRPr="00E40EA4">
        <w:rPr>
          <w:b w:val="0"/>
          <w:color w:val="auto"/>
          <w:lang w:val="en-US"/>
        </w:rPr>
        <w:t>analysed</w:t>
      </w:r>
      <w:proofErr w:type="spellEnd"/>
      <w:r w:rsidRPr="00E40EA4">
        <w:rPr>
          <w:b w:val="0"/>
          <w:color w:val="auto"/>
          <w:lang w:val="en-US"/>
        </w:rPr>
        <w:t xml:space="preserve"> for scoring errors, allelic dropout and null alleles using </w:t>
      </w:r>
      <w:proofErr w:type="spellStart"/>
      <w:r w:rsidRPr="00E40EA4">
        <w:rPr>
          <w:b w:val="0"/>
          <w:color w:val="auto"/>
          <w:lang w:val="en-US"/>
        </w:rPr>
        <w:t>Microchecker</w:t>
      </w:r>
      <w:proofErr w:type="spellEnd"/>
      <w:r w:rsidRPr="00E40EA4">
        <w:rPr>
          <w:b w:val="0"/>
          <w:color w:val="auto"/>
          <w:lang w:val="en-US"/>
        </w:rPr>
        <w:t xml:space="preserve"> (Van Oosterhout 2004), for deviation from Hardy-Weinberg expectation and genotypic equilibrium using FSTAT (Goudet 2001). Tests were performed for each population and locus, with Bonferroni correction.</w:t>
      </w:r>
    </w:p>
    <w:p w:rsidR="001F0DF0" w:rsidRPr="0011613D" w:rsidRDefault="001F0DF0" w:rsidP="001F0DF0">
      <w:pPr>
        <w:rPr>
          <w:rFonts w:ascii="Arial" w:hAnsi="Arial" w:cs="Arial"/>
        </w:rPr>
      </w:pPr>
    </w:p>
    <w:p w:rsidR="001F0DF0" w:rsidRPr="00AA659D" w:rsidRDefault="001F0DF0" w:rsidP="001F0DF0">
      <w:pPr>
        <w:pStyle w:val="FWFHeading2"/>
        <w:spacing w:line="360" w:lineRule="auto"/>
        <w:jc w:val="both"/>
        <w:outlineLvl w:val="0"/>
        <w:rPr>
          <w:b w:val="0"/>
          <w:color w:val="auto"/>
        </w:rPr>
      </w:pPr>
      <w:r>
        <w:rPr>
          <w:b w:val="0"/>
          <w:color w:val="auto"/>
        </w:rPr>
        <w:t xml:space="preserve">3. </w:t>
      </w:r>
      <w:r w:rsidRPr="00AA659D">
        <w:rPr>
          <w:b w:val="0"/>
          <w:color w:val="auto"/>
        </w:rPr>
        <w:t>Ancient changes in effective population size</w:t>
      </w:r>
    </w:p>
    <w:p w:rsidR="001F0DF0" w:rsidRPr="00AA659D" w:rsidRDefault="001F0DF0" w:rsidP="001F0DF0">
      <w:pPr>
        <w:spacing w:after="30" w:line="360" w:lineRule="auto"/>
        <w:jc w:val="both"/>
        <w:rPr>
          <w:rFonts w:ascii="Arial" w:hAnsi="Arial" w:cs="Arial"/>
        </w:rPr>
      </w:pPr>
      <w:r w:rsidRPr="00AA659D">
        <w:rPr>
          <w:rFonts w:ascii="Arial" w:hAnsi="Arial" w:cs="Arial"/>
        </w:rPr>
        <w:t>Ancient demographic change in both SWR and NWR pop</w:t>
      </w:r>
      <w:r>
        <w:rPr>
          <w:rFonts w:ascii="Arial" w:hAnsi="Arial" w:cs="Arial"/>
        </w:rPr>
        <w:t xml:space="preserve">ulations was using in </w:t>
      </w:r>
      <w:proofErr w:type="spellStart"/>
      <w:r>
        <w:rPr>
          <w:rFonts w:ascii="Arial" w:hAnsi="Arial" w:cs="Arial"/>
        </w:rPr>
        <w:t>Msvar</w:t>
      </w:r>
      <w:proofErr w:type="spellEnd"/>
      <w:r w:rsidRPr="00AA659D">
        <w:rPr>
          <w:rFonts w:ascii="Arial" w:hAnsi="Arial" w:cs="Arial"/>
        </w:rPr>
        <w:t xml:space="preserve"> </w:t>
      </w:r>
      <w:r>
        <w:rPr>
          <w:rFonts w:ascii="Arial" w:hAnsi="Arial" w:cs="Arial"/>
        </w:rPr>
        <w:t xml:space="preserve">v.1.3 </w:t>
      </w:r>
      <w:r w:rsidRPr="00AA659D">
        <w:rPr>
          <w:rFonts w:ascii="Arial" w:hAnsi="Arial" w:cs="Arial"/>
        </w:rPr>
        <w:t xml:space="preserve">(Beaumont 1999; Storz &amp; Beaumont 2002). </w:t>
      </w:r>
      <w:r w:rsidRPr="00AA659D">
        <w:rPr>
          <w:rFonts w:ascii="Arial" w:hAnsi="Arial" w:cs="Arial"/>
          <w:lang w:val="en-US"/>
        </w:rPr>
        <w:t>We used a microsatellite mutation rate (</w:t>
      </w:r>
      <w:r w:rsidRPr="00AA659D">
        <w:rPr>
          <w:rFonts w:ascii="Arial" w:hAnsi="Arial" w:cs="Arial"/>
          <w:i/>
        </w:rPr>
        <w:t>μ</w:t>
      </w:r>
      <w:r w:rsidRPr="00AA659D">
        <w:rPr>
          <w:rFonts w:ascii="Arial" w:hAnsi="Arial" w:cs="Arial"/>
          <w:lang w:val="en-US"/>
        </w:rPr>
        <w:t xml:space="preserve">) of </w:t>
      </w:r>
      <w:r w:rsidRPr="00AA659D">
        <w:rPr>
          <w:rFonts w:ascii="Arial" w:hAnsi="Arial" w:cs="Arial"/>
        </w:rPr>
        <w:t>5 x 10</w:t>
      </w:r>
      <w:r w:rsidRPr="00AA659D">
        <w:rPr>
          <w:rFonts w:ascii="Arial" w:hAnsi="Arial" w:cs="Arial"/>
          <w:vertAlign w:val="superscript"/>
        </w:rPr>
        <w:t xml:space="preserve">-4 </w:t>
      </w:r>
      <w:r w:rsidRPr="00AA659D">
        <w:rPr>
          <w:rFonts w:ascii="Arial" w:hAnsi="Arial" w:cs="Arial"/>
          <w:lang w:val="en-US"/>
        </w:rPr>
        <w:t xml:space="preserve">substitutions/site/year </w:t>
      </w:r>
      <w:r>
        <w:rPr>
          <w:rFonts w:ascii="Arial" w:hAnsi="Arial" w:cs="Arial"/>
          <w:lang w:val="en-US"/>
        </w:rPr>
        <w:t>(</w:t>
      </w:r>
      <w:r w:rsidRPr="00AA659D">
        <w:rPr>
          <w:rFonts w:ascii="Arial" w:hAnsi="Arial" w:cs="Arial"/>
          <w:lang w:val="en-US"/>
        </w:rPr>
        <w:t xml:space="preserve">Peery </w:t>
      </w:r>
      <w:r>
        <w:rPr>
          <w:rFonts w:ascii="Arial" w:hAnsi="Arial" w:cs="Arial"/>
          <w:i/>
          <w:lang w:val="en-US"/>
        </w:rPr>
        <w:t>et al.</w:t>
      </w:r>
      <w:r w:rsidRPr="00AA659D">
        <w:rPr>
          <w:rFonts w:ascii="Arial" w:hAnsi="Arial" w:cs="Arial"/>
          <w:lang w:val="en-US"/>
        </w:rPr>
        <w:t xml:space="preserve"> 2012), but allowed this rate to vary between </w:t>
      </w:r>
      <w:r w:rsidRPr="00AA659D">
        <w:rPr>
          <w:rFonts w:ascii="Arial" w:hAnsi="Arial" w:cs="Arial"/>
        </w:rPr>
        <w:t>10</w:t>
      </w:r>
      <w:r w:rsidRPr="00AA659D">
        <w:rPr>
          <w:rFonts w:ascii="Arial" w:hAnsi="Arial" w:cs="Arial"/>
          <w:vertAlign w:val="superscript"/>
        </w:rPr>
        <w:t xml:space="preserve">-3 </w:t>
      </w:r>
      <w:r w:rsidRPr="00AA659D">
        <w:rPr>
          <w:rFonts w:ascii="Arial" w:hAnsi="Arial" w:cs="Arial"/>
        </w:rPr>
        <w:t>and 10</w:t>
      </w:r>
      <w:r w:rsidRPr="00AA659D">
        <w:rPr>
          <w:rFonts w:ascii="Arial" w:hAnsi="Arial" w:cs="Arial"/>
          <w:vertAlign w:val="superscript"/>
        </w:rPr>
        <w:t>-5</w:t>
      </w:r>
      <w:r w:rsidRPr="00AA659D">
        <w:rPr>
          <w:rFonts w:ascii="Arial" w:hAnsi="Arial" w:cs="Arial"/>
        </w:rPr>
        <w:t xml:space="preserve">. We implemented MCMC simulations, to estimate demographic parameters </w:t>
      </w:r>
      <w:r>
        <w:rPr>
          <w:rFonts w:ascii="Arial" w:hAnsi="Arial" w:cs="Arial"/>
        </w:rPr>
        <w:t>including</w:t>
      </w:r>
      <w:r w:rsidRPr="00AA659D">
        <w:rPr>
          <w:rFonts w:ascii="Arial" w:hAnsi="Arial" w:cs="Arial"/>
        </w:rPr>
        <w:t xml:space="preserve"> current (</w:t>
      </w:r>
      <w:r w:rsidRPr="00AA659D">
        <w:rPr>
          <w:rFonts w:ascii="Arial" w:hAnsi="Arial" w:cs="Arial"/>
          <w:i/>
        </w:rPr>
        <w:t>N</w:t>
      </w:r>
      <w:r w:rsidRPr="00AA659D">
        <w:rPr>
          <w:rFonts w:ascii="Arial" w:hAnsi="Arial" w:cs="Arial"/>
          <w:i/>
          <w:vertAlign w:val="subscript"/>
        </w:rPr>
        <w:t>0</w:t>
      </w:r>
      <w:r w:rsidRPr="00AA659D">
        <w:rPr>
          <w:rFonts w:ascii="Arial" w:hAnsi="Arial" w:cs="Arial"/>
        </w:rPr>
        <w:t xml:space="preserve">) and </w:t>
      </w:r>
      <w:r w:rsidRPr="00AA659D">
        <w:rPr>
          <w:rFonts w:ascii="Arial" w:hAnsi="Arial" w:cs="Arial"/>
        </w:rPr>
        <w:lastRenderedPageBreak/>
        <w:t>ancestral (</w:t>
      </w:r>
      <w:r w:rsidRPr="00AA659D">
        <w:rPr>
          <w:rFonts w:ascii="Arial" w:hAnsi="Arial" w:cs="Arial"/>
          <w:i/>
        </w:rPr>
        <w:t>N</w:t>
      </w:r>
      <w:r w:rsidRPr="00AA659D">
        <w:rPr>
          <w:rFonts w:ascii="Arial" w:hAnsi="Arial" w:cs="Arial"/>
          <w:i/>
          <w:vertAlign w:val="subscript"/>
        </w:rPr>
        <w:t>1</w:t>
      </w:r>
      <w:r w:rsidRPr="00AA659D">
        <w:rPr>
          <w:rFonts w:ascii="Arial" w:hAnsi="Arial" w:cs="Arial"/>
        </w:rPr>
        <w:t>) effective population sizes, the mutation rate per locus per generation (</w:t>
      </w:r>
      <w:r w:rsidRPr="00AA659D">
        <w:rPr>
          <w:rFonts w:ascii="Arial" w:hAnsi="Arial" w:cs="Arial"/>
          <w:i/>
        </w:rPr>
        <w:t>μ</w:t>
      </w:r>
      <w:r w:rsidRPr="00AA659D">
        <w:rPr>
          <w:rFonts w:ascii="Arial" w:hAnsi="Arial" w:cs="Arial"/>
        </w:rPr>
        <w:t>) and the time since the population change (</w:t>
      </w:r>
      <w:r w:rsidRPr="00AA659D">
        <w:rPr>
          <w:rFonts w:ascii="Arial" w:hAnsi="Arial" w:cs="Arial"/>
          <w:i/>
        </w:rPr>
        <w:t>T</w:t>
      </w:r>
      <w:r w:rsidRPr="00AA659D">
        <w:rPr>
          <w:rFonts w:ascii="Arial" w:hAnsi="Arial" w:cs="Arial"/>
        </w:rPr>
        <w:t xml:space="preserve">). Prior distributions for </w:t>
      </w:r>
      <w:r w:rsidRPr="00AA659D">
        <w:rPr>
          <w:rFonts w:ascii="Arial" w:hAnsi="Arial" w:cs="Arial"/>
          <w:i/>
        </w:rPr>
        <w:t>N</w:t>
      </w:r>
      <w:r w:rsidRPr="00AA659D">
        <w:rPr>
          <w:rFonts w:ascii="Arial" w:hAnsi="Arial" w:cs="Arial"/>
          <w:i/>
          <w:vertAlign w:val="subscript"/>
        </w:rPr>
        <w:t>0</w:t>
      </w:r>
      <w:r w:rsidRPr="00AA659D">
        <w:rPr>
          <w:rFonts w:ascii="Arial" w:hAnsi="Arial" w:cs="Arial"/>
        </w:rPr>
        <w:t xml:space="preserve">, </w:t>
      </w:r>
      <w:r w:rsidRPr="00AA659D">
        <w:rPr>
          <w:rFonts w:ascii="Arial" w:hAnsi="Arial" w:cs="Arial"/>
          <w:i/>
        </w:rPr>
        <w:t>N</w:t>
      </w:r>
      <w:r w:rsidRPr="00AA659D">
        <w:rPr>
          <w:rFonts w:ascii="Arial" w:hAnsi="Arial" w:cs="Arial"/>
          <w:i/>
          <w:vertAlign w:val="subscript"/>
        </w:rPr>
        <w:t>1</w:t>
      </w:r>
      <w:r w:rsidRPr="00AA659D">
        <w:rPr>
          <w:rFonts w:ascii="Arial" w:hAnsi="Arial" w:cs="Arial"/>
        </w:rPr>
        <w:t xml:space="preserve">, </w:t>
      </w:r>
      <w:r w:rsidRPr="00AA659D">
        <w:rPr>
          <w:rFonts w:ascii="Arial" w:hAnsi="Arial" w:cs="Arial"/>
          <w:i/>
        </w:rPr>
        <w:t>μ</w:t>
      </w:r>
      <w:r w:rsidRPr="00AA659D">
        <w:rPr>
          <w:rFonts w:ascii="Arial" w:hAnsi="Arial" w:cs="Arial"/>
        </w:rPr>
        <w:t xml:space="preserve"> and </w:t>
      </w:r>
      <w:r w:rsidRPr="00AA659D">
        <w:rPr>
          <w:rFonts w:ascii="Arial" w:hAnsi="Arial" w:cs="Arial"/>
          <w:i/>
        </w:rPr>
        <w:t>T</w:t>
      </w:r>
      <w:r w:rsidRPr="00AA659D">
        <w:rPr>
          <w:rFonts w:ascii="Arial" w:hAnsi="Arial" w:cs="Arial"/>
        </w:rPr>
        <w:t xml:space="preserve"> were assumed to be log-normal while the means and standard deviations of these log-normal distributions were drawn from the prior (or hyperprior) distributions. Multiple runs were performed with large variances on </w:t>
      </w:r>
      <w:r w:rsidRPr="0028070D">
        <w:rPr>
          <w:rFonts w:ascii="Arial" w:hAnsi="Arial" w:cs="Arial"/>
        </w:rPr>
        <w:t>priors (</w:t>
      </w:r>
      <w:r>
        <w:rPr>
          <w:rFonts w:ascii="Arial" w:hAnsi="Arial" w:cs="Arial"/>
        </w:rPr>
        <w:t xml:space="preserve">ESM1, </w:t>
      </w:r>
      <w:r w:rsidRPr="0028070D">
        <w:rPr>
          <w:rFonts w:ascii="Arial" w:hAnsi="Arial" w:cs="Arial"/>
        </w:rPr>
        <w:t>Table S5)</w:t>
      </w:r>
      <w:r w:rsidRPr="00AA659D">
        <w:rPr>
          <w:rFonts w:ascii="Arial" w:hAnsi="Arial" w:cs="Arial"/>
        </w:rPr>
        <w:t xml:space="preserve"> in order to </w:t>
      </w:r>
      <w:r>
        <w:rPr>
          <w:rFonts w:ascii="Arial" w:hAnsi="Arial" w:cs="Arial"/>
        </w:rPr>
        <w:t>influence</w:t>
      </w:r>
      <w:r w:rsidRPr="00AA659D">
        <w:rPr>
          <w:rFonts w:ascii="Arial" w:hAnsi="Arial" w:cs="Arial"/>
        </w:rPr>
        <w:t xml:space="preserve"> posterior distributions as little as possible. The three </w:t>
      </w:r>
      <w:r>
        <w:rPr>
          <w:rFonts w:ascii="Arial" w:hAnsi="Arial" w:cs="Arial"/>
        </w:rPr>
        <w:t>simulations</w:t>
      </w:r>
      <w:r w:rsidRPr="00AA659D">
        <w:rPr>
          <w:rFonts w:ascii="Arial" w:hAnsi="Arial" w:cs="Arial"/>
        </w:rPr>
        <w:t xml:space="preserve"> were performed separately for SWR and NWR as follows: (</w:t>
      </w:r>
      <w:proofErr w:type="spellStart"/>
      <w:r w:rsidRPr="00AA659D">
        <w:rPr>
          <w:rFonts w:ascii="Arial" w:hAnsi="Arial" w:cs="Arial"/>
        </w:rPr>
        <w:t>i</w:t>
      </w:r>
      <w:proofErr w:type="spellEnd"/>
      <w:r w:rsidRPr="00AA659D">
        <w:rPr>
          <w:rFonts w:ascii="Arial" w:hAnsi="Arial" w:cs="Arial"/>
        </w:rPr>
        <w:t>) the log</w:t>
      </w:r>
      <w:r>
        <w:rPr>
          <w:rFonts w:ascii="Arial" w:hAnsi="Arial" w:cs="Arial"/>
        </w:rPr>
        <w:t>-</w:t>
      </w:r>
      <w:r w:rsidRPr="00AA659D">
        <w:rPr>
          <w:rFonts w:ascii="Arial" w:hAnsi="Arial" w:cs="Arial"/>
        </w:rPr>
        <w:t xml:space="preserve">normal distribution values of </w:t>
      </w:r>
      <w:r w:rsidRPr="00AA659D">
        <w:rPr>
          <w:rFonts w:ascii="Arial" w:hAnsi="Arial" w:cs="Arial"/>
          <w:i/>
        </w:rPr>
        <w:t>N</w:t>
      </w:r>
      <w:r w:rsidRPr="00AA659D">
        <w:rPr>
          <w:rFonts w:ascii="Arial" w:hAnsi="Arial" w:cs="Arial"/>
          <w:i/>
          <w:vertAlign w:val="subscript"/>
        </w:rPr>
        <w:t>1</w:t>
      </w:r>
      <w:r w:rsidRPr="00AA659D">
        <w:rPr>
          <w:rFonts w:ascii="Arial" w:hAnsi="Arial" w:cs="Arial"/>
        </w:rPr>
        <w:t xml:space="preserve"> and </w:t>
      </w:r>
      <w:r w:rsidRPr="00AA659D">
        <w:rPr>
          <w:rFonts w:ascii="Arial" w:hAnsi="Arial" w:cs="Arial"/>
          <w:i/>
        </w:rPr>
        <w:t>N</w:t>
      </w:r>
      <w:r w:rsidRPr="00AA659D">
        <w:rPr>
          <w:rFonts w:ascii="Arial" w:hAnsi="Arial" w:cs="Arial"/>
          <w:i/>
          <w:vertAlign w:val="subscript"/>
        </w:rPr>
        <w:t>0</w:t>
      </w:r>
      <w:r w:rsidRPr="00AA659D">
        <w:rPr>
          <w:rFonts w:ascii="Arial" w:hAnsi="Arial" w:cs="Arial"/>
        </w:rPr>
        <w:t xml:space="preserve"> to be the same (stable population), (ii) larger priors for </w:t>
      </w:r>
      <w:r w:rsidRPr="00AA659D">
        <w:rPr>
          <w:rFonts w:ascii="Arial" w:hAnsi="Arial" w:cs="Arial"/>
          <w:i/>
        </w:rPr>
        <w:t>N</w:t>
      </w:r>
      <w:r w:rsidRPr="00AA659D">
        <w:rPr>
          <w:rFonts w:ascii="Arial" w:hAnsi="Arial" w:cs="Arial"/>
          <w:i/>
          <w:vertAlign w:val="subscript"/>
        </w:rPr>
        <w:t>1</w:t>
      </w:r>
      <w:r w:rsidRPr="00AA659D">
        <w:rPr>
          <w:rFonts w:ascii="Arial" w:hAnsi="Arial" w:cs="Arial"/>
        </w:rPr>
        <w:t xml:space="preserve"> than </w:t>
      </w:r>
      <w:r w:rsidRPr="00AA659D">
        <w:rPr>
          <w:rFonts w:ascii="Arial" w:hAnsi="Arial" w:cs="Arial"/>
          <w:i/>
        </w:rPr>
        <w:t>N</w:t>
      </w:r>
      <w:r w:rsidRPr="00AA659D">
        <w:rPr>
          <w:rFonts w:ascii="Arial" w:hAnsi="Arial" w:cs="Arial"/>
          <w:i/>
          <w:vertAlign w:val="subscript"/>
        </w:rPr>
        <w:t>0</w:t>
      </w:r>
      <w:r w:rsidRPr="00AA659D">
        <w:rPr>
          <w:rFonts w:ascii="Arial" w:hAnsi="Arial" w:cs="Arial"/>
        </w:rPr>
        <w:t xml:space="preserve"> (decline or bottleneck) and (iii) vice versa, smaller priors for </w:t>
      </w:r>
      <w:r w:rsidRPr="00AA659D">
        <w:rPr>
          <w:rFonts w:ascii="Arial" w:hAnsi="Arial" w:cs="Arial"/>
          <w:i/>
        </w:rPr>
        <w:t>N</w:t>
      </w:r>
      <w:r w:rsidRPr="00AA659D">
        <w:rPr>
          <w:rFonts w:ascii="Arial" w:hAnsi="Arial" w:cs="Arial"/>
          <w:i/>
          <w:vertAlign w:val="subscript"/>
        </w:rPr>
        <w:t>1</w:t>
      </w:r>
      <w:r w:rsidRPr="00AA659D">
        <w:rPr>
          <w:rFonts w:ascii="Arial" w:hAnsi="Arial" w:cs="Arial"/>
        </w:rPr>
        <w:t xml:space="preserve"> than </w:t>
      </w:r>
      <w:r w:rsidRPr="00AA659D">
        <w:rPr>
          <w:rFonts w:ascii="Arial" w:hAnsi="Arial" w:cs="Arial"/>
          <w:i/>
        </w:rPr>
        <w:t>N</w:t>
      </w:r>
      <w:r w:rsidRPr="00AA659D">
        <w:rPr>
          <w:rFonts w:ascii="Arial" w:hAnsi="Arial" w:cs="Arial"/>
          <w:i/>
          <w:vertAlign w:val="subscript"/>
        </w:rPr>
        <w:t>0</w:t>
      </w:r>
      <w:r w:rsidRPr="00AA659D">
        <w:rPr>
          <w:rFonts w:ascii="Arial" w:hAnsi="Arial" w:cs="Arial"/>
        </w:rPr>
        <w:t xml:space="preserve"> (expansion). Simulations were run for 1 x 10</w:t>
      </w:r>
      <w:r w:rsidRPr="00AA659D">
        <w:rPr>
          <w:rFonts w:ascii="Arial" w:hAnsi="Arial" w:cs="Arial"/>
          <w:vertAlign w:val="superscript"/>
        </w:rPr>
        <w:t>10</w:t>
      </w:r>
      <w:r w:rsidRPr="00AA659D">
        <w:rPr>
          <w:rFonts w:ascii="Arial" w:hAnsi="Arial" w:cs="Arial"/>
        </w:rPr>
        <w:t xml:space="preserve"> iterations, thinning every 100 000 steps to end with 100 000 thinned samples, with the first 20% discarded as burn-in. We used a generation time of 27 years, calculated as the average between ages of first and last reproduction (</w:t>
      </w:r>
      <w:proofErr w:type="spellStart"/>
      <w:r w:rsidRPr="00AA659D">
        <w:rPr>
          <w:rFonts w:ascii="Arial" w:hAnsi="Arial" w:cs="Arial"/>
        </w:rPr>
        <w:t>Bertschinger</w:t>
      </w:r>
      <w:proofErr w:type="spellEnd"/>
      <w:r w:rsidRPr="00AA659D">
        <w:rPr>
          <w:rFonts w:ascii="Arial" w:hAnsi="Arial" w:cs="Arial"/>
        </w:rPr>
        <w:t xml:space="preserve"> 1994). </w:t>
      </w:r>
      <w:r w:rsidRPr="00AA659D">
        <w:rPr>
          <w:rFonts w:ascii="Arial" w:hAnsi="Arial" w:cs="Arial"/>
          <w:lang w:val="en-US"/>
        </w:rPr>
        <w:t>MCMC convergence between independent runs was assessed with the Gelman and Rubin’s diagnostic (Gelman</w:t>
      </w:r>
      <w:r>
        <w:rPr>
          <w:rFonts w:ascii="Arial" w:hAnsi="Arial" w:cs="Arial"/>
          <w:lang w:val="en-US"/>
        </w:rPr>
        <w:t xml:space="preserve"> and Rubin </w:t>
      </w:r>
      <w:r w:rsidRPr="00D529E4">
        <w:rPr>
          <w:rFonts w:ascii="Arial" w:hAnsi="Arial" w:cs="Arial"/>
          <w:lang w:val="en-US"/>
        </w:rPr>
        <w:t xml:space="preserve">1992; </w:t>
      </w:r>
      <w:r w:rsidRPr="00D529E4">
        <w:rPr>
          <w:rFonts w:ascii="Arial" w:hAnsi="Arial" w:cs="Arial"/>
        </w:rPr>
        <w:t>Brooks &amp; Gelman 1998</w:t>
      </w:r>
      <w:r w:rsidRPr="00D529E4">
        <w:rPr>
          <w:rFonts w:ascii="Arial" w:hAnsi="Arial" w:cs="Arial"/>
          <w:lang w:val="en-US"/>
        </w:rPr>
        <w:t>)</w:t>
      </w:r>
      <w:r w:rsidRPr="00AA659D">
        <w:rPr>
          <w:rFonts w:ascii="Arial" w:hAnsi="Arial" w:cs="Arial"/>
        </w:rPr>
        <w:t xml:space="preserve">. Runs and variables reached </w:t>
      </w:r>
      <w:bookmarkStart w:id="0" w:name="OLE_LINK18"/>
      <w:bookmarkStart w:id="1" w:name="OLE_LINK19"/>
      <w:r w:rsidRPr="00AA659D">
        <w:rPr>
          <w:rFonts w:ascii="Arial" w:hAnsi="Arial" w:cs="Arial"/>
        </w:rPr>
        <w:t xml:space="preserve">convergence when a quantile less than 1.20 was obtained (Gelman </w:t>
      </w:r>
      <w:r>
        <w:rPr>
          <w:rFonts w:ascii="Arial" w:hAnsi="Arial" w:cs="Arial"/>
          <w:i/>
        </w:rPr>
        <w:t>et al.</w:t>
      </w:r>
      <w:r w:rsidRPr="00AA659D">
        <w:rPr>
          <w:rFonts w:ascii="Arial" w:hAnsi="Arial" w:cs="Arial"/>
        </w:rPr>
        <w:t xml:space="preserve"> 2004)</w:t>
      </w:r>
      <w:bookmarkEnd w:id="0"/>
      <w:bookmarkEnd w:id="1"/>
      <w:r w:rsidRPr="00AA659D">
        <w:rPr>
          <w:rFonts w:ascii="Arial" w:hAnsi="Arial" w:cs="Arial"/>
        </w:rPr>
        <w:t>.</w:t>
      </w:r>
      <w:r>
        <w:rPr>
          <w:rFonts w:ascii="Arial" w:hAnsi="Arial" w:cs="Arial"/>
        </w:rPr>
        <w:t xml:space="preserve"> A</w:t>
      </w:r>
      <w:r w:rsidRPr="00AA659D">
        <w:rPr>
          <w:rFonts w:ascii="Arial" w:hAnsi="Arial" w:cs="Arial"/>
        </w:rPr>
        <w:t xml:space="preserve">ll summary statistics were calculated in </w:t>
      </w:r>
      <w:r>
        <w:rPr>
          <w:rFonts w:ascii="Arial" w:hAnsi="Arial" w:cs="Arial"/>
        </w:rPr>
        <w:t xml:space="preserve">the </w:t>
      </w:r>
      <w:r w:rsidRPr="00AA659D">
        <w:rPr>
          <w:rFonts w:ascii="Arial" w:hAnsi="Arial" w:cs="Arial"/>
        </w:rPr>
        <w:t>R package “Boa” v1.1.7 (Smith 2007</w:t>
      </w:r>
      <w:r>
        <w:rPr>
          <w:rFonts w:ascii="Arial" w:hAnsi="Arial" w:cs="Arial"/>
        </w:rPr>
        <w:t>)</w:t>
      </w:r>
      <w:r w:rsidRPr="00AA659D">
        <w:rPr>
          <w:rFonts w:ascii="Arial" w:hAnsi="Arial" w:cs="Arial"/>
        </w:rPr>
        <w:t>.</w:t>
      </w:r>
    </w:p>
    <w:p w:rsidR="001F0DF0" w:rsidRDefault="001F0DF0" w:rsidP="001F0DF0">
      <w:pPr>
        <w:rPr>
          <w:rFonts w:ascii="Arial" w:hAnsi="Arial" w:cs="Arial"/>
        </w:rPr>
      </w:pPr>
    </w:p>
    <w:p w:rsidR="001F0DF0" w:rsidRPr="0089762F" w:rsidRDefault="001F0DF0" w:rsidP="001F0DF0">
      <w:pPr>
        <w:rPr>
          <w:rFonts w:ascii="Arial" w:hAnsi="Arial" w:cs="Arial"/>
        </w:rPr>
      </w:pPr>
      <w:r>
        <w:rPr>
          <w:rFonts w:ascii="Arial" w:hAnsi="Arial" w:cs="Arial"/>
        </w:rPr>
        <w:t xml:space="preserve">4. </w:t>
      </w:r>
      <w:r w:rsidRPr="0089762F">
        <w:rPr>
          <w:rFonts w:ascii="Arial" w:hAnsi="Arial" w:cs="Arial"/>
        </w:rPr>
        <w:t xml:space="preserve">Anthropogenic demographic changes </w:t>
      </w:r>
    </w:p>
    <w:p w:rsidR="001F0DF0" w:rsidRPr="00AA659D" w:rsidRDefault="001F0DF0" w:rsidP="001F0DF0">
      <w:pPr>
        <w:tabs>
          <w:tab w:val="left" w:pos="9498"/>
        </w:tabs>
        <w:spacing w:afterLines="30" w:after="72" w:line="360" w:lineRule="auto"/>
        <w:jc w:val="both"/>
        <w:rPr>
          <w:rFonts w:ascii="Arial" w:hAnsi="Arial" w:cs="Arial"/>
        </w:rPr>
      </w:pPr>
      <w:r w:rsidRPr="0089762F">
        <w:rPr>
          <w:rFonts w:ascii="Arial" w:hAnsi="Arial" w:cs="Arial"/>
        </w:rPr>
        <w:t>To investigate potential anthropogenic effects on the recent demography of the white rhinoceros, we used an Approximate Bayesian Computation (ABC) approach (Beaumont et al. 2002) as implemented in ABCTOOLBOX v1.1 (</w:t>
      </w:r>
      <w:proofErr w:type="spellStart"/>
      <w:r w:rsidRPr="0089762F">
        <w:rPr>
          <w:rFonts w:ascii="Arial" w:hAnsi="Arial" w:cs="Arial"/>
        </w:rPr>
        <w:t>Wegmann</w:t>
      </w:r>
      <w:proofErr w:type="spellEnd"/>
      <w:r w:rsidRPr="0089762F">
        <w:rPr>
          <w:rFonts w:ascii="Arial" w:hAnsi="Arial" w:cs="Arial"/>
        </w:rPr>
        <w:t xml:space="preserve"> </w:t>
      </w:r>
      <w:r w:rsidRPr="0089762F">
        <w:rPr>
          <w:rFonts w:ascii="Arial" w:hAnsi="Arial" w:cs="Arial"/>
          <w:i/>
        </w:rPr>
        <w:t>et al.</w:t>
      </w:r>
      <w:r w:rsidRPr="0089762F">
        <w:rPr>
          <w:rFonts w:ascii="Arial" w:hAnsi="Arial" w:cs="Arial"/>
        </w:rPr>
        <w:t xml:space="preserve"> 2010). Demographic histories for SWR and NWR were first tested independently by exploratory simulations of six scenarios: a null model, two expansion models, two bottleneck models and a model with two bottlenecks (Figure S1). Under expansion and bottleneck scenarios we tested whether the timing of the demographic event coincided with sub-Saharan Africa’s two most important anthropogenic events - the migration of iron-age, agriculturalist Niger-Congo language speakers (Bantu) into eastern and southern Africa 400-2,000 years ago (</w:t>
      </w:r>
      <w:proofErr w:type="spellStart"/>
      <w:r w:rsidRPr="0089762F">
        <w:rPr>
          <w:rFonts w:ascii="Arial" w:hAnsi="Arial" w:cs="Arial"/>
        </w:rPr>
        <w:t>ya</w:t>
      </w:r>
      <w:proofErr w:type="spellEnd"/>
      <w:r w:rsidRPr="0089762F">
        <w:rPr>
          <w:rFonts w:ascii="Arial" w:hAnsi="Arial" w:cs="Arial"/>
        </w:rPr>
        <w:t xml:space="preserve">; </w:t>
      </w:r>
      <w:proofErr w:type="spellStart"/>
      <w:r w:rsidRPr="0089762F">
        <w:rPr>
          <w:rFonts w:ascii="Arial" w:hAnsi="Arial" w:cs="Arial"/>
        </w:rPr>
        <w:t>Grollemund</w:t>
      </w:r>
      <w:proofErr w:type="spellEnd"/>
      <w:r w:rsidRPr="0089762F">
        <w:rPr>
          <w:rFonts w:ascii="Arial" w:hAnsi="Arial" w:cs="Arial"/>
        </w:rPr>
        <w:t xml:space="preserve"> et al. 2015) and the expansion of colonial-era European influence into the region (present to 400 </w:t>
      </w:r>
      <w:proofErr w:type="spellStart"/>
      <w:r w:rsidRPr="0089762F">
        <w:rPr>
          <w:rFonts w:ascii="Arial" w:hAnsi="Arial" w:cs="Arial"/>
        </w:rPr>
        <w:t>ya</w:t>
      </w:r>
      <w:proofErr w:type="spellEnd"/>
      <w:r w:rsidRPr="0089762F">
        <w:rPr>
          <w:rFonts w:ascii="Arial" w:hAnsi="Arial" w:cs="Arial"/>
        </w:rPr>
        <w:t xml:space="preserve">). </w:t>
      </w:r>
      <w:r w:rsidRPr="00AA659D">
        <w:rPr>
          <w:rFonts w:ascii="Arial" w:hAnsi="Arial" w:cs="Arial"/>
        </w:rPr>
        <w:t>We used wide uniform log</w:t>
      </w:r>
      <w:r w:rsidRPr="00AA659D">
        <w:rPr>
          <w:rFonts w:ascii="Arial" w:hAnsi="Arial" w:cs="Arial"/>
          <w:vertAlign w:val="subscript"/>
        </w:rPr>
        <w:t>10</w:t>
      </w:r>
      <w:r w:rsidRPr="00AA659D">
        <w:rPr>
          <w:rFonts w:ascii="Arial" w:hAnsi="Arial" w:cs="Arial"/>
        </w:rPr>
        <w:t xml:space="preserve"> priors to capture a variety of credible parameter values and a Gamma distributed mutation rate prior set between 1 x 10</w:t>
      </w:r>
      <w:r w:rsidRPr="00AA659D">
        <w:rPr>
          <w:rFonts w:ascii="Arial" w:hAnsi="Arial" w:cs="Arial"/>
          <w:vertAlign w:val="superscript"/>
        </w:rPr>
        <w:t>-4</w:t>
      </w:r>
      <w:r w:rsidRPr="00AA659D">
        <w:rPr>
          <w:rFonts w:ascii="Arial" w:hAnsi="Arial" w:cs="Arial"/>
        </w:rPr>
        <w:t xml:space="preserve"> and 1 x 10</w:t>
      </w:r>
      <w:r w:rsidRPr="00AA659D">
        <w:rPr>
          <w:rFonts w:ascii="Arial" w:hAnsi="Arial" w:cs="Arial"/>
          <w:vertAlign w:val="superscript"/>
        </w:rPr>
        <w:t>-3</w:t>
      </w:r>
      <w:r w:rsidRPr="00AA659D">
        <w:rPr>
          <w:rFonts w:ascii="Arial" w:hAnsi="Arial" w:cs="Arial"/>
        </w:rPr>
        <w:t>. For each scenario</w:t>
      </w:r>
      <w:r>
        <w:rPr>
          <w:rFonts w:ascii="Arial" w:hAnsi="Arial" w:cs="Arial"/>
        </w:rPr>
        <w:t>,</w:t>
      </w:r>
      <w:r w:rsidRPr="00AA659D">
        <w:rPr>
          <w:rFonts w:ascii="Arial" w:hAnsi="Arial" w:cs="Arial"/>
        </w:rPr>
        <w:t xml:space="preserve"> we estimated the following parameters: the modern effective population size (</w:t>
      </w:r>
      <w:r w:rsidRPr="00573384">
        <w:rPr>
          <w:rFonts w:ascii="Arial" w:hAnsi="Arial" w:cs="Arial"/>
          <w:i/>
        </w:rPr>
        <w:t>N</w:t>
      </w:r>
      <w:r w:rsidRPr="00573384">
        <w:rPr>
          <w:rFonts w:ascii="Arial" w:hAnsi="Arial" w:cs="Arial"/>
          <w:i/>
          <w:vertAlign w:val="subscript"/>
        </w:rPr>
        <w:t>0</w:t>
      </w:r>
      <w:r w:rsidRPr="00AA659D">
        <w:rPr>
          <w:rFonts w:ascii="Arial" w:hAnsi="Arial" w:cs="Arial"/>
        </w:rPr>
        <w:t>), the ancestral effective population size (</w:t>
      </w:r>
      <w:r w:rsidRPr="00573384">
        <w:rPr>
          <w:rFonts w:ascii="Arial" w:hAnsi="Arial" w:cs="Arial"/>
          <w:i/>
        </w:rPr>
        <w:t>N</w:t>
      </w:r>
      <w:r w:rsidRPr="00573384">
        <w:rPr>
          <w:rFonts w:ascii="Arial" w:hAnsi="Arial" w:cs="Arial"/>
          <w:i/>
          <w:vertAlign w:val="subscript"/>
        </w:rPr>
        <w:t>1</w:t>
      </w:r>
      <w:r w:rsidRPr="00AA659D">
        <w:rPr>
          <w:rFonts w:ascii="Arial" w:hAnsi="Arial" w:cs="Arial"/>
        </w:rPr>
        <w:t>) and the time of population size change (</w:t>
      </w:r>
      <w:r w:rsidRPr="00E26F99">
        <w:rPr>
          <w:rFonts w:ascii="Arial" w:hAnsi="Arial" w:cs="Arial"/>
        </w:rPr>
        <w:t>T</w:t>
      </w:r>
      <w:r w:rsidRPr="00AA659D">
        <w:rPr>
          <w:rFonts w:ascii="Arial" w:hAnsi="Arial" w:cs="Arial"/>
        </w:rPr>
        <w:t xml:space="preserve">). Summary statistics (mean/total number of alleles per locus, heterozygosity and Garza-Williamson’s </w:t>
      </w:r>
      <w:r>
        <w:rPr>
          <w:rFonts w:ascii="Arial" w:hAnsi="Arial" w:cs="Arial"/>
        </w:rPr>
        <w:t>index</w:t>
      </w:r>
      <w:r w:rsidRPr="00AA659D">
        <w:rPr>
          <w:rFonts w:ascii="Arial" w:hAnsi="Arial" w:cs="Arial"/>
        </w:rPr>
        <w:t xml:space="preserve"> for each simulation as well as for the observed data, using a subsample of 20 and 15 individuals for the SWR and NWR populations respectively, were </w:t>
      </w:r>
      <w:r w:rsidRPr="00AA659D">
        <w:rPr>
          <w:rFonts w:ascii="Arial" w:hAnsi="Arial" w:cs="Arial"/>
        </w:rPr>
        <w:lastRenderedPageBreak/>
        <w:t xml:space="preserve">calculated </w:t>
      </w:r>
      <w:r>
        <w:rPr>
          <w:rFonts w:ascii="Arial" w:hAnsi="Arial" w:cs="Arial"/>
        </w:rPr>
        <w:t>using</w:t>
      </w:r>
      <w:r w:rsidRPr="00AA659D">
        <w:rPr>
          <w:rFonts w:ascii="Arial" w:hAnsi="Arial" w:cs="Arial"/>
        </w:rPr>
        <w:t xml:space="preserve"> Arlequin 3.5. </w:t>
      </w:r>
      <w:r w:rsidRPr="00AA659D">
        <w:rPr>
          <w:rFonts w:ascii="Arial" w:eastAsia="Times New Roman" w:hAnsi="Arial" w:cs="Arial"/>
          <w:shd w:val="clear" w:color="auto" w:fill="FFFFFF"/>
        </w:rPr>
        <w:t>The full set of summary statistics that best explained the variance in the model parameter space were used to calculate the Euclidean distance between observed and simulated datasets.</w:t>
      </w:r>
      <w:r w:rsidRPr="00AA659D">
        <w:rPr>
          <w:rFonts w:ascii="Arial" w:hAnsi="Arial" w:cs="Arial"/>
        </w:rPr>
        <w:t xml:space="preserve"> We set the number of simulations at 1</w:t>
      </w:r>
      <w:r>
        <w:rPr>
          <w:rFonts w:ascii="Arial" w:hAnsi="Arial" w:cs="Arial"/>
        </w:rPr>
        <w:t>,0</w:t>
      </w:r>
      <w:r w:rsidRPr="00AA659D">
        <w:rPr>
          <w:rFonts w:ascii="Arial" w:hAnsi="Arial" w:cs="Arial"/>
        </w:rPr>
        <w:t xml:space="preserve">00,000 to </w:t>
      </w:r>
      <w:r>
        <w:rPr>
          <w:rFonts w:ascii="Arial" w:hAnsi="Arial" w:cs="Arial"/>
        </w:rPr>
        <w:t>assess whether</w:t>
      </w:r>
      <w:r w:rsidRPr="00AA659D">
        <w:rPr>
          <w:rFonts w:ascii="Arial" w:hAnsi="Arial" w:cs="Arial"/>
        </w:rPr>
        <w:t xml:space="preserve"> the models were able to explain the observed data. We also checked the fraction of retained simulations (5%) with smaller or equal likelihoods than the likelihood of the observed data (</w:t>
      </w:r>
      <w:r w:rsidRPr="00AA659D">
        <w:rPr>
          <w:rFonts w:ascii="Arial" w:hAnsi="Arial" w:cs="Arial"/>
          <w:i/>
        </w:rPr>
        <w:t>P</w:t>
      </w:r>
      <w:r w:rsidRPr="00AA659D">
        <w:rPr>
          <w:rFonts w:ascii="Arial" w:hAnsi="Arial" w:cs="Arial"/>
        </w:rPr>
        <w:t xml:space="preserve">-value). Model fit was therefore evaluated using the 5,000 simulations closest to the observed dataset. For this we used the ABC-GLM general linear post-sampling adjustment step built into </w:t>
      </w:r>
      <w:proofErr w:type="spellStart"/>
      <w:r w:rsidRPr="00AA659D">
        <w:rPr>
          <w:rFonts w:ascii="Arial" w:hAnsi="Arial" w:cs="Arial"/>
        </w:rPr>
        <w:t>ABCtoolbox</w:t>
      </w:r>
      <w:proofErr w:type="spellEnd"/>
      <w:r w:rsidRPr="00AA659D">
        <w:rPr>
          <w:rFonts w:ascii="Arial" w:hAnsi="Arial" w:cs="Arial"/>
        </w:rPr>
        <w:t xml:space="preserve"> to calculate the posterior probability and marginal densities for each scenario. </w:t>
      </w:r>
      <w:r w:rsidRPr="00AA659D">
        <w:rPr>
          <w:rFonts w:ascii="Arial" w:hAnsi="Arial" w:cs="Arial"/>
          <w:lang w:val="en-US"/>
        </w:rPr>
        <w:t xml:space="preserve">Marginal distributions were used to calculate the posterior probability and Bayes Factors (BF) for each pairwise comparison between scenarios. We </w:t>
      </w:r>
      <w:r>
        <w:rPr>
          <w:rFonts w:ascii="Arial" w:hAnsi="Arial" w:cs="Arial"/>
          <w:lang w:val="en-US"/>
        </w:rPr>
        <w:t>accepted</w:t>
      </w:r>
      <w:r w:rsidRPr="00AA659D">
        <w:rPr>
          <w:rFonts w:ascii="Arial" w:hAnsi="Arial" w:cs="Arial"/>
          <w:lang w:val="en-US"/>
        </w:rPr>
        <w:t xml:space="preserve"> the alternative hypothesis when the BF between two scenarios was greater than three. </w:t>
      </w:r>
      <w:r w:rsidRPr="00AA659D">
        <w:rPr>
          <w:rFonts w:ascii="Arial" w:eastAsia="Times New Roman" w:hAnsi="Arial" w:cs="Arial"/>
          <w:shd w:val="clear" w:color="auto" w:fill="FFFFFF"/>
        </w:rPr>
        <w:t xml:space="preserve">In addition, </w:t>
      </w:r>
      <w:r w:rsidRPr="00AA659D">
        <w:rPr>
          <w:rFonts w:ascii="Arial" w:hAnsi="Arial" w:cs="Arial"/>
        </w:rPr>
        <w:t>an R correlation test with Spearman’s rho statistics was used to remove summary statistics with highest pairwise correlations.</w:t>
      </w:r>
      <w:r w:rsidRPr="00AA659D">
        <w:rPr>
          <w:rFonts w:ascii="Arial" w:eastAsia="Times New Roman" w:hAnsi="Arial" w:cs="Arial"/>
          <w:sz w:val="20"/>
          <w:szCs w:val="20"/>
          <w:shd w:val="clear" w:color="auto" w:fill="FFFFFF"/>
        </w:rPr>
        <w:t xml:space="preserve"> </w:t>
      </w:r>
      <w:r w:rsidRPr="00AA659D">
        <w:rPr>
          <w:rFonts w:ascii="Arial" w:hAnsi="Arial" w:cs="Arial"/>
        </w:rPr>
        <w:t>The best models were repeated with 1,000,000 simulations to obtain final posterior parameter estimates.</w:t>
      </w:r>
    </w:p>
    <w:p w:rsidR="001F0DF0" w:rsidRDefault="001F0DF0" w:rsidP="001F0DF0">
      <w:pPr>
        <w:tabs>
          <w:tab w:val="left" w:pos="9498"/>
        </w:tabs>
        <w:spacing w:after="30" w:line="360" w:lineRule="auto"/>
        <w:jc w:val="both"/>
        <w:rPr>
          <w:rFonts w:ascii="Arial" w:hAnsi="Arial" w:cs="Arial"/>
        </w:rPr>
      </w:pPr>
    </w:p>
    <w:p w:rsidR="001F0DF0" w:rsidRPr="0089762F" w:rsidRDefault="001F0DF0" w:rsidP="001F0DF0">
      <w:pPr>
        <w:tabs>
          <w:tab w:val="left" w:pos="9498"/>
        </w:tabs>
        <w:spacing w:after="30" w:line="360" w:lineRule="auto"/>
        <w:jc w:val="both"/>
        <w:rPr>
          <w:rFonts w:ascii="Arial" w:hAnsi="Arial" w:cs="Arial"/>
        </w:rPr>
      </w:pPr>
      <w:r>
        <w:rPr>
          <w:rFonts w:ascii="Arial" w:hAnsi="Arial" w:cs="Arial"/>
        </w:rPr>
        <w:t>5. Secondary contact</w:t>
      </w:r>
    </w:p>
    <w:p w:rsidR="001F0DF0" w:rsidRDefault="001F0DF0" w:rsidP="001F0DF0">
      <w:pPr>
        <w:autoSpaceDE w:val="0"/>
        <w:autoSpaceDN w:val="0"/>
        <w:adjustRightInd w:val="0"/>
        <w:spacing w:after="23" w:line="360" w:lineRule="auto"/>
        <w:jc w:val="both"/>
        <w:rPr>
          <w:rFonts w:ascii="Arial" w:hAnsi="Arial" w:cs="Arial"/>
        </w:rPr>
      </w:pPr>
      <w:r w:rsidRPr="0089762F">
        <w:rPr>
          <w:rFonts w:ascii="Arial" w:hAnsi="Arial" w:cs="Arial"/>
        </w:rPr>
        <w:t>A two-population null model was constructed (Figure S2), based on the best independent demographic scenarios for SWR and NWR determined above, and tested against several models of migration to determine the likelihood of NWR-SWR secondary contact since divergence. We set four uniform migration priors (</w:t>
      </w:r>
      <w:r>
        <w:rPr>
          <w:rFonts w:ascii="Arial" w:hAnsi="Arial" w:cs="Arial"/>
        </w:rPr>
        <w:t>ESM1, Table S7</w:t>
      </w:r>
      <w:r w:rsidRPr="0089762F">
        <w:rPr>
          <w:rFonts w:ascii="Arial" w:hAnsi="Arial" w:cs="Arial"/>
        </w:rPr>
        <w:t>) with the expectation that white rhinoceros populations would more likely have come into secondary contact during times of late Pleistocene glaciation, when the grassland biome would have been continuous between eastern and southern Africa. Therefore we first tested for migration (</w:t>
      </w:r>
      <w:proofErr w:type="spellStart"/>
      <w:r w:rsidRPr="0089762F">
        <w:rPr>
          <w:rFonts w:ascii="Arial" w:hAnsi="Arial" w:cs="Arial"/>
        </w:rPr>
        <w:t>uni</w:t>
      </w:r>
      <w:proofErr w:type="spellEnd"/>
      <w:r w:rsidRPr="0089762F">
        <w:rPr>
          <w:rFonts w:ascii="Arial" w:hAnsi="Arial" w:cs="Arial"/>
        </w:rPr>
        <w:t xml:space="preserve">- and bidirectional) at any time during the last glacial period (LGP) of the late Pleistocene (14,000 – 106,000 </w:t>
      </w:r>
      <w:proofErr w:type="spellStart"/>
      <w:r w:rsidRPr="0089762F">
        <w:rPr>
          <w:rFonts w:ascii="Arial" w:hAnsi="Arial" w:cs="Arial"/>
        </w:rPr>
        <w:t>ya</w:t>
      </w:r>
      <w:proofErr w:type="spellEnd"/>
      <w:r w:rsidRPr="0089762F">
        <w:rPr>
          <w:rFonts w:ascii="Arial" w:hAnsi="Arial" w:cs="Arial"/>
        </w:rPr>
        <w:t xml:space="preserve">, scenarios 2-4) which followed the end of the </w:t>
      </w:r>
      <w:proofErr w:type="spellStart"/>
      <w:r w:rsidRPr="0089762F">
        <w:rPr>
          <w:rFonts w:ascii="Arial" w:hAnsi="Arial" w:cs="Arial"/>
        </w:rPr>
        <w:t>Eemian</w:t>
      </w:r>
      <w:proofErr w:type="spellEnd"/>
      <w:r w:rsidRPr="0089762F">
        <w:rPr>
          <w:rFonts w:ascii="Arial" w:hAnsi="Arial" w:cs="Arial"/>
        </w:rPr>
        <w:t xml:space="preserve"> interglacial. We then subdivided the LGP to try differentiate between recent migration during the last glacial maximum (LGM, 14,000 – 26,000 </w:t>
      </w:r>
      <w:proofErr w:type="spellStart"/>
      <w:r w:rsidRPr="0089762F">
        <w:rPr>
          <w:rFonts w:ascii="Arial" w:hAnsi="Arial" w:cs="Arial"/>
        </w:rPr>
        <w:t>ya</w:t>
      </w:r>
      <w:proofErr w:type="spellEnd"/>
      <w:r w:rsidRPr="0089762F">
        <w:rPr>
          <w:rFonts w:ascii="Arial" w:hAnsi="Arial" w:cs="Arial"/>
        </w:rPr>
        <w:t xml:space="preserve">, scenarios 5-7) and potentially earlier migration during the LGP (26,000 – 106,000 </w:t>
      </w:r>
      <w:proofErr w:type="spellStart"/>
      <w:r w:rsidRPr="0089762F">
        <w:rPr>
          <w:rFonts w:ascii="Arial" w:hAnsi="Arial" w:cs="Arial"/>
        </w:rPr>
        <w:t>ya</w:t>
      </w:r>
      <w:proofErr w:type="spellEnd"/>
      <w:r w:rsidRPr="0089762F">
        <w:rPr>
          <w:rFonts w:ascii="Arial" w:hAnsi="Arial" w:cs="Arial"/>
        </w:rPr>
        <w:t>, scenarios 8-10). Lastly, we tested the null hypothesis against a model of ancient (pre-</w:t>
      </w:r>
      <w:proofErr w:type="spellStart"/>
      <w:r w:rsidRPr="0089762F">
        <w:rPr>
          <w:rFonts w:ascii="Arial" w:hAnsi="Arial" w:cs="Arial"/>
        </w:rPr>
        <w:t>Eemian</w:t>
      </w:r>
      <w:proofErr w:type="spellEnd"/>
      <w:r w:rsidRPr="0089762F">
        <w:rPr>
          <w:rFonts w:ascii="Arial" w:hAnsi="Arial" w:cs="Arial"/>
        </w:rPr>
        <w:t xml:space="preserve">) migration (130,000 – 500,000 </w:t>
      </w:r>
      <w:proofErr w:type="spellStart"/>
      <w:r w:rsidRPr="0089762F">
        <w:rPr>
          <w:rFonts w:ascii="Arial" w:hAnsi="Arial" w:cs="Arial"/>
        </w:rPr>
        <w:t>ya</w:t>
      </w:r>
      <w:proofErr w:type="spellEnd"/>
      <w:r w:rsidRPr="0089762F">
        <w:rPr>
          <w:rFonts w:ascii="Arial" w:hAnsi="Arial" w:cs="Arial"/>
        </w:rPr>
        <w:t>, scenarios 11-13). Additional two-sample (pairwise) summary statistics (nucleotide diversity, F</w:t>
      </w:r>
      <w:r w:rsidRPr="0089762F">
        <w:rPr>
          <w:rFonts w:ascii="Arial" w:hAnsi="Arial" w:cs="Arial"/>
          <w:vertAlign w:val="subscript"/>
        </w:rPr>
        <w:t>ST</w:t>
      </w:r>
      <w:r w:rsidRPr="0089762F">
        <w:rPr>
          <w:rFonts w:ascii="Arial" w:hAnsi="Arial" w:cs="Arial"/>
        </w:rPr>
        <w:t xml:space="preserve">) were computed for simulated and observed data sets. </w:t>
      </w:r>
      <w:r w:rsidRPr="006C2C5A">
        <w:rPr>
          <w:rFonts w:ascii="Arial" w:hAnsi="Arial" w:cs="Arial"/>
        </w:rPr>
        <w:t>A wide prior, equivalent to the 95% highest posterior density (HPD) interval for the coalescence of SWR and NWR mitochondrial genomes, was used for the time to the most recent common ancestor (TMRCA) between the two populations. We tested this null model against several models of migration to determine the likelihood of NWR-SWR secondary contact since divergence.</w:t>
      </w:r>
    </w:p>
    <w:p w:rsidR="00922B1D" w:rsidRPr="00BE3456" w:rsidRDefault="00E93D2E" w:rsidP="00BE3456">
      <w:pPr>
        <w:pStyle w:val="FWFHeading2"/>
        <w:spacing w:line="360" w:lineRule="auto"/>
        <w:jc w:val="both"/>
        <w:rPr>
          <w:b w:val="0"/>
          <w:color w:val="auto"/>
        </w:rPr>
      </w:pPr>
      <w:r>
        <w:rPr>
          <w:noProof/>
          <w:lang w:val="en-US"/>
        </w:rPr>
        <w:lastRenderedPageBreak/>
        <w:drawing>
          <wp:anchor distT="0" distB="0" distL="114300" distR="114300" simplePos="0" relativeHeight="251658240" behindDoc="0" locked="0" layoutInCell="1" allowOverlap="1">
            <wp:simplePos x="0" y="0"/>
            <wp:positionH relativeFrom="column">
              <wp:posOffset>-657225</wp:posOffset>
            </wp:positionH>
            <wp:positionV relativeFrom="paragraph">
              <wp:posOffset>2009140</wp:posOffset>
            </wp:positionV>
            <wp:extent cx="7277100" cy="49434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3.tif"/>
                    <pic:cNvPicPr/>
                  </pic:nvPicPr>
                  <pic:blipFill>
                    <a:blip r:embed="rId8">
                      <a:extLst>
                        <a:ext uri="{28A0092B-C50C-407E-A947-70E740481C1C}">
                          <a14:useLocalDpi xmlns:a14="http://schemas.microsoft.com/office/drawing/2010/main" val="0"/>
                        </a:ext>
                      </a:extLst>
                    </a:blip>
                    <a:stretch>
                      <a:fillRect/>
                    </a:stretch>
                  </pic:blipFill>
                  <pic:spPr>
                    <a:xfrm>
                      <a:off x="0" y="0"/>
                      <a:ext cx="7277100" cy="4943475"/>
                    </a:xfrm>
                    <a:prstGeom prst="rect">
                      <a:avLst/>
                    </a:prstGeom>
                  </pic:spPr>
                </pic:pic>
              </a:graphicData>
            </a:graphic>
            <wp14:sizeRelH relativeFrom="margin">
              <wp14:pctWidth>0</wp14:pctWidth>
            </wp14:sizeRelH>
            <wp14:sizeRelV relativeFrom="margin">
              <wp14:pctHeight>0</wp14:pctHeight>
            </wp14:sizeRelV>
          </wp:anchor>
        </w:drawing>
      </w:r>
      <w:r w:rsidR="00922B1D">
        <w:t>Figure S</w:t>
      </w:r>
      <w:r w:rsidR="00BE3456">
        <w:t>1</w:t>
      </w:r>
      <w:r w:rsidR="00922B1D" w:rsidRPr="00103951">
        <w:t xml:space="preserve">. </w:t>
      </w:r>
      <w:r w:rsidR="00BE3456" w:rsidRPr="00AA659D">
        <w:rPr>
          <w:b w:val="0"/>
          <w:color w:val="auto"/>
        </w:rPr>
        <w:t>Distribution, phenotype and population trends in the white rhinoceros. A. Historic distribution of northern (NWR) and southern (SWR) white rhinoceros in sub</w:t>
      </w:r>
      <w:r w:rsidR="00BE3456">
        <w:rPr>
          <w:b w:val="0"/>
          <w:color w:val="auto"/>
        </w:rPr>
        <w:t>-</w:t>
      </w:r>
      <w:r w:rsidR="00BE3456" w:rsidRPr="00AA659D">
        <w:rPr>
          <w:b w:val="0"/>
          <w:color w:val="auto"/>
        </w:rPr>
        <w:t>Saharan Africa (af</w:t>
      </w:r>
      <w:r w:rsidR="00BE3456">
        <w:rPr>
          <w:b w:val="0"/>
          <w:color w:val="auto"/>
        </w:rPr>
        <w:t xml:space="preserve">ter </w:t>
      </w:r>
      <w:proofErr w:type="spellStart"/>
      <w:r w:rsidR="00BE3456">
        <w:rPr>
          <w:b w:val="0"/>
          <w:color w:val="auto"/>
        </w:rPr>
        <w:t>Rookmaaker</w:t>
      </w:r>
      <w:proofErr w:type="spellEnd"/>
      <w:r w:rsidR="00BE3456">
        <w:rPr>
          <w:b w:val="0"/>
          <w:color w:val="auto"/>
        </w:rPr>
        <w:t xml:space="preserve"> and Antoine, 2012</w:t>
      </w:r>
      <w:r w:rsidR="00BE3456" w:rsidRPr="00AA659D">
        <w:rPr>
          <w:b w:val="0"/>
          <w:color w:val="auto"/>
        </w:rPr>
        <w:t>). B</w:t>
      </w:r>
      <w:r w:rsidR="00BE3456" w:rsidRPr="00D720EE">
        <w:rPr>
          <w:b w:val="0"/>
          <w:color w:val="auto"/>
        </w:rPr>
        <w:t xml:space="preserve">. </w:t>
      </w:r>
      <w:r w:rsidR="00E02A7F" w:rsidRPr="00E02A7F">
        <w:rPr>
          <w:b w:val="0"/>
          <w:color w:val="auto"/>
        </w:rPr>
        <w:t xml:space="preserve">Northern (left) and southern (right) white rhinoceros females at </w:t>
      </w:r>
      <w:proofErr w:type="spellStart"/>
      <w:r w:rsidR="00E02A7F" w:rsidRPr="00E02A7F">
        <w:rPr>
          <w:b w:val="0"/>
          <w:color w:val="auto"/>
        </w:rPr>
        <w:t>Ol</w:t>
      </w:r>
      <w:proofErr w:type="spellEnd"/>
      <w:r w:rsidR="00E02A7F" w:rsidRPr="00E02A7F">
        <w:rPr>
          <w:b w:val="0"/>
          <w:color w:val="auto"/>
        </w:rPr>
        <w:t xml:space="preserve"> Pejeta Conservancy, Kenya. Photographic credit: Copyright (c) Chantelle Melzer (www.chantellemelzer.com) 19 May 2017, reproduced online and in print gratuity with full permission from the copyright holder.</w:t>
      </w:r>
      <w:r w:rsidR="00E02A7F">
        <w:rPr>
          <w:b w:val="0"/>
          <w:color w:val="auto"/>
        </w:rPr>
        <w:t xml:space="preserve"> </w:t>
      </w:r>
      <w:r w:rsidR="00BE3456" w:rsidRPr="00AA659D">
        <w:rPr>
          <w:b w:val="0"/>
          <w:color w:val="auto"/>
        </w:rPr>
        <w:t>Population trends of NWR (red) and SWR (blue) through the 20</w:t>
      </w:r>
      <w:r w:rsidR="00BE3456" w:rsidRPr="00AA659D">
        <w:rPr>
          <w:b w:val="0"/>
          <w:color w:val="auto"/>
          <w:vertAlign w:val="superscript"/>
        </w:rPr>
        <w:t>th</w:t>
      </w:r>
      <w:r w:rsidR="00BE3456">
        <w:rPr>
          <w:b w:val="0"/>
          <w:color w:val="auto"/>
        </w:rPr>
        <w:t xml:space="preserve"> c</w:t>
      </w:r>
      <w:r w:rsidR="00BE3456" w:rsidRPr="00AA659D">
        <w:rPr>
          <w:b w:val="0"/>
          <w:color w:val="auto"/>
        </w:rPr>
        <w:t xml:space="preserve">entury. </w:t>
      </w:r>
      <w:r w:rsidR="00BE3456">
        <w:rPr>
          <w:b w:val="0"/>
          <w:color w:val="auto"/>
        </w:rPr>
        <w:t>D</w:t>
      </w:r>
      <w:r w:rsidR="00BE3456" w:rsidRPr="00AA659D">
        <w:rPr>
          <w:b w:val="0"/>
          <w:color w:val="auto"/>
        </w:rPr>
        <w:t>. Extent of the grassland biome (in red) in Africa during the last glacial maximum (left) when it was continuous from north to south, and at present (right) where it is fragmented.</w:t>
      </w:r>
    </w:p>
    <w:p w:rsidR="00922B1D" w:rsidRDefault="00922B1D" w:rsidP="001F0DF0">
      <w:pPr>
        <w:autoSpaceDE w:val="0"/>
        <w:autoSpaceDN w:val="0"/>
        <w:adjustRightInd w:val="0"/>
        <w:spacing w:after="23" w:line="360" w:lineRule="auto"/>
        <w:jc w:val="both"/>
        <w:rPr>
          <w:rFonts w:ascii="Arial" w:hAnsi="Arial" w:cs="Arial"/>
        </w:rPr>
      </w:pPr>
    </w:p>
    <w:p w:rsidR="00922B1D" w:rsidRDefault="00922B1D" w:rsidP="001F0DF0">
      <w:pPr>
        <w:autoSpaceDE w:val="0"/>
        <w:autoSpaceDN w:val="0"/>
        <w:adjustRightInd w:val="0"/>
        <w:spacing w:after="23" w:line="360" w:lineRule="auto"/>
        <w:jc w:val="both"/>
        <w:rPr>
          <w:rFonts w:ascii="Arial" w:hAnsi="Arial" w:cs="Arial"/>
        </w:rPr>
      </w:pPr>
    </w:p>
    <w:p w:rsidR="001F0DF0" w:rsidRDefault="001F0DF0" w:rsidP="001F0DF0">
      <w:pPr>
        <w:autoSpaceDE w:val="0"/>
        <w:autoSpaceDN w:val="0"/>
        <w:adjustRightInd w:val="0"/>
        <w:spacing w:after="23" w:line="360" w:lineRule="auto"/>
        <w:jc w:val="both"/>
        <w:rPr>
          <w:rFonts w:ascii="Arial" w:hAnsi="Arial" w:cs="Arial"/>
        </w:rPr>
        <w:sectPr w:rsidR="001F0DF0">
          <w:pgSz w:w="12240" w:h="15840"/>
          <w:pgMar w:top="1440" w:right="1440" w:bottom="1440" w:left="1440" w:header="708" w:footer="708" w:gutter="0"/>
          <w:cols w:space="708"/>
          <w:docGrid w:linePitch="360"/>
        </w:sectPr>
      </w:pPr>
      <w:bookmarkStart w:id="2" w:name="_GoBack"/>
      <w:bookmarkEnd w:id="2"/>
    </w:p>
    <w:p w:rsidR="001F0DF0" w:rsidRPr="00A52AC6" w:rsidRDefault="001F0DF0" w:rsidP="001F0DF0">
      <w:pPr>
        <w:jc w:val="both"/>
        <w:rPr>
          <w:rFonts w:ascii="Arial" w:hAnsi="Arial" w:cs="Arial"/>
        </w:rPr>
      </w:pPr>
      <w:r w:rsidRPr="009C7655">
        <w:rPr>
          <w:rFonts w:ascii="Arial" w:hAnsi="Arial" w:cs="Arial"/>
          <w:b/>
        </w:rPr>
        <w:lastRenderedPageBreak/>
        <w:t>Figure S</w:t>
      </w:r>
      <w:r w:rsidR="00BE3456">
        <w:rPr>
          <w:rFonts w:ascii="Arial" w:hAnsi="Arial" w:cs="Arial"/>
          <w:b/>
        </w:rPr>
        <w:t>2</w:t>
      </w:r>
      <w:r w:rsidRPr="009C7655">
        <w:rPr>
          <w:rFonts w:ascii="Arial" w:hAnsi="Arial" w:cs="Arial"/>
          <w:b/>
        </w:rPr>
        <w:t>.</w:t>
      </w:r>
      <w:r w:rsidRPr="009C7655">
        <w:rPr>
          <w:rFonts w:ascii="Arial" w:hAnsi="Arial" w:cs="Arial"/>
        </w:rPr>
        <w:t xml:space="preserve"> The six demographic scenarios tested for both the southern white and northern white rhinoceros. The first scenario assumes a single stable population and can be regarded as the null hypothesis. Scenario 2-5 modelled two expansions with the time of the expansion during the colonial </w:t>
      </w:r>
      <w:r>
        <w:rPr>
          <w:rFonts w:ascii="Arial" w:hAnsi="Arial" w:cs="Arial"/>
        </w:rPr>
        <w:t>period</w:t>
      </w:r>
      <w:r w:rsidRPr="009C7655">
        <w:rPr>
          <w:rFonts w:ascii="Arial" w:hAnsi="Arial" w:cs="Arial"/>
        </w:rPr>
        <w:t xml:space="preserve"> (1-15 generations ago) or before the colonial </w:t>
      </w:r>
      <w:r>
        <w:rPr>
          <w:rFonts w:ascii="Arial" w:hAnsi="Arial" w:cs="Arial"/>
        </w:rPr>
        <w:t>era</w:t>
      </w:r>
      <w:r w:rsidRPr="009C7655">
        <w:rPr>
          <w:rFonts w:ascii="Arial" w:hAnsi="Arial" w:cs="Arial"/>
        </w:rPr>
        <w:t xml:space="preserve"> (15-74 generations ago) and two bottlenecks with the time of the bottleneck during the colonial </w:t>
      </w:r>
      <w:r>
        <w:rPr>
          <w:rFonts w:ascii="Arial" w:hAnsi="Arial" w:cs="Arial"/>
        </w:rPr>
        <w:t>period</w:t>
      </w:r>
      <w:r w:rsidRPr="009C7655">
        <w:rPr>
          <w:rFonts w:ascii="Arial" w:hAnsi="Arial" w:cs="Arial"/>
        </w:rPr>
        <w:t xml:space="preserve"> (1-15 generation ago) or before the colonial era (15-74 generation</w:t>
      </w:r>
      <w:r>
        <w:rPr>
          <w:rFonts w:ascii="Arial" w:hAnsi="Arial" w:cs="Arial"/>
        </w:rPr>
        <w:t>s ago), respectively. Scenario 6</w:t>
      </w:r>
      <w:r w:rsidRPr="009C7655">
        <w:rPr>
          <w:rFonts w:ascii="Arial" w:hAnsi="Arial" w:cs="Arial"/>
        </w:rPr>
        <w:t xml:space="preserve"> modelled two bottlenecks without any rec</w:t>
      </w:r>
      <w:r>
        <w:rPr>
          <w:rFonts w:ascii="Arial" w:hAnsi="Arial" w:cs="Arial"/>
        </w:rPr>
        <w:t>overy with declines during the B</w:t>
      </w:r>
      <w:r w:rsidRPr="009C7655">
        <w:rPr>
          <w:rFonts w:ascii="Arial" w:hAnsi="Arial" w:cs="Arial"/>
        </w:rPr>
        <w:t xml:space="preserve">antu migration and the colonial era. </w:t>
      </w:r>
      <w:r w:rsidRPr="009C7655">
        <w:rPr>
          <w:rFonts w:ascii="Arial" w:hAnsi="Arial" w:cs="Arial"/>
          <w:i/>
        </w:rPr>
        <w:t>N</w:t>
      </w:r>
      <w:r w:rsidRPr="009C7655">
        <w:rPr>
          <w:rFonts w:ascii="Arial" w:hAnsi="Arial" w:cs="Arial"/>
          <w:i/>
          <w:vertAlign w:val="subscript"/>
        </w:rPr>
        <w:t>1</w:t>
      </w:r>
      <w:r w:rsidRPr="009C7655">
        <w:rPr>
          <w:rFonts w:ascii="Arial" w:hAnsi="Arial" w:cs="Arial"/>
        </w:rPr>
        <w:t xml:space="preserve">, ancestral effective population size; </w:t>
      </w:r>
      <w:r w:rsidRPr="009C7655">
        <w:rPr>
          <w:rFonts w:ascii="Arial" w:hAnsi="Arial" w:cs="Arial"/>
          <w:i/>
        </w:rPr>
        <w:t>N</w:t>
      </w:r>
      <w:r w:rsidRPr="009C7655">
        <w:rPr>
          <w:rFonts w:ascii="Arial" w:hAnsi="Arial" w:cs="Arial"/>
          <w:i/>
          <w:vertAlign w:val="subscript"/>
        </w:rPr>
        <w:t>0</w:t>
      </w:r>
      <w:r w:rsidRPr="009C7655">
        <w:rPr>
          <w:rFonts w:ascii="Arial" w:hAnsi="Arial" w:cs="Arial"/>
        </w:rPr>
        <w:t>, cu</w:t>
      </w:r>
      <w:r>
        <w:rPr>
          <w:rFonts w:ascii="Arial" w:hAnsi="Arial" w:cs="Arial"/>
        </w:rPr>
        <w:t>rrent effective population size;</w:t>
      </w:r>
      <w:r w:rsidRPr="009C7655">
        <w:rPr>
          <w:rFonts w:ascii="Arial" w:hAnsi="Arial" w:cs="Arial"/>
        </w:rPr>
        <w:t xml:space="preserve"> </w:t>
      </w:r>
      <w:r w:rsidRPr="009C7655">
        <w:rPr>
          <w:rFonts w:ascii="Arial" w:hAnsi="Arial" w:cs="Arial"/>
          <w:i/>
        </w:rPr>
        <w:t>T</w:t>
      </w:r>
      <w:r w:rsidRPr="009C7655">
        <w:rPr>
          <w:rFonts w:ascii="Arial" w:hAnsi="Arial" w:cs="Arial"/>
        </w:rPr>
        <w:t>, time since population size change</w:t>
      </w:r>
      <w:r>
        <w:rPr>
          <w:rFonts w:ascii="Arial" w:hAnsi="Arial" w:cs="Arial"/>
        </w:rPr>
        <w:t>.</w:t>
      </w:r>
    </w:p>
    <w:p w:rsidR="001F0DF0" w:rsidRDefault="001F0DF0" w:rsidP="001F0DF0">
      <w:pPr>
        <w:jc w:val="center"/>
      </w:pPr>
      <w:r>
        <w:rPr>
          <w:noProof/>
          <w:lang w:val="en-US"/>
        </w:rPr>
        <w:drawing>
          <wp:inline distT="0" distB="0" distL="0" distR="0" wp14:anchorId="7CB178E6" wp14:editId="3F780591">
            <wp:extent cx="8232960" cy="314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_I.pdf"/>
                    <pic:cNvPicPr/>
                  </pic:nvPicPr>
                  <pic:blipFill rotWithShape="1">
                    <a:blip r:embed="rId9">
                      <a:extLst>
                        <a:ext uri="{28A0092B-C50C-407E-A947-70E740481C1C}">
                          <a14:useLocalDpi xmlns:a14="http://schemas.microsoft.com/office/drawing/2010/main" val="0"/>
                        </a:ext>
                      </a:extLst>
                    </a:blip>
                    <a:srcRect t="16868" b="15126"/>
                    <a:stretch/>
                  </pic:blipFill>
                  <pic:spPr bwMode="auto">
                    <a:xfrm>
                      <a:off x="0" y="0"/>
                      <a:ext cx="8254171" cy="3157715"/>
                    </a:xfrm>
                    <a:prstGeom prst="rect">
                      <a:avLst/>
                    </a:prstGeom>
                    <a:ln>
                      <a:noFill/>
                    </a:ln>
                    <a:extLst>
                      <a:ext uri="{53640926-AAD7-44D8-BBD7-CCE9431645EC}">
                        <a14:shadowObscured xmlns:a14="http://schemas.microsoft.com/office/drawing/2010/main"/>
                      </a:ext>
                    </a:extLst>
                  </pic:spPr>
                </pic:pic>
              </a:graphicData>
            </a:graphic>
          </wp:inline>
        </w:drawing>
      </w:r>
    </w:p>
    <w:p w:rsidR="001F0DF0" w:rsidRDefault="001F0DF0" w:rsidP="001F0DF0"/>
    <w:p w:rsidR="001F0DF0" w:rsidRDefault="001F0DF0" w:rsidP="001F0DF0">
      <w:pPr>
        <w:sectPr w:rsidR="001F0DF0" w:rsidSect="00975099">
          <w:pgSz w:w="15840" w:h="12240" w:orient="landscape"/>
          <w:pgMar w:top="1440" w:right="1440" w:bottom="1440" w:left="1440" w:header="708" w:footer="708" w:gutter="0"/>
          <w:cols w:space="708"/>
          <w:docGrid w:linePitch="360"/>
        </w:sectPr>
      </w:pPr>
    </w:p>
    <w:p w:rsidR="001F0DF0" w:rsidRPr="00A52AC6" w:rsidRDefault="001F0DF0" w:rsidP="001F0DF0">
      <w:pPr>
        <w:jc w:val="both"/>
        <w:rPr>
          <w:rFonts w:ascii="Arial" w:hAnsi="Arial" w:cs="Arial"/>
        </w:rPr>
      </w:pPr>
      <w:r>
        <w:rPr>
          <w:rFonts w:ascii="Arial" w:hAnsi="Arial" w:cs="Arial"/>
          <w:b/>
        </w:rPr>
        <w:lastRenderedPageBreak/>
        <w:t>Figure S</w:t>
      </w:r>
      <w:r w:rsidR="00BE3456">
        <w:rPr>
          <w:rFonts w:ascii="Arial" w:hAnsi="Arial" w:cs="Arial"/>
          <w:b/>
        </w:rPr>
        <w:t>3</w:t>
      </w:r>
      <w:r w:rsidRPr="00103951">
        <w:rPr>
          <w:rFonts w:ascii="Arial" w:hAnsi="Arial" w:cs="Arial"/>
          <w:b/>
        </w:rPr>
        <w:t>.</w:t>
      </w:r>
      <w:r w:rsidRPr="00103951">
        <w:rPr>
          <w:rFonts w:ascii="Arial" w:hAnsi="Arial" w:cs="Arial"/>
        </w:rPr>
        <w:t xml:space="preserve"> The four demographic scenarios tested for both the southern white and northern white rhinoceros in the combined analysis. The first scenario assumes two stable population</w:t>
      </w:r>
      <w:r>
        <w:rPr>
          <w:rFonts w:ascii="Arial" w:hAnsi="Arial" w:cs="Arial"/>
        </w:rPr>
        <w:t>s</w:t>
      </w:r>
      <w:r w:rsidRPr="00103951">
        <w:rPr>
          <w:rFonts w:ascii="Arial" w:hAnsi="Arial" w:cs="Arial"/>
        </w:rPr>
        <w:t xml:space="preserve"> (Southern White Rhino = SWR; Northern White Rhino = NWR) and can be regarded as the null hypothesis. Scenario</w:t>
      </w:r>
      <w:r>
        <w:rPr>
          <w:rFonts w:ascii="Arial" w:hAnsi="Arial" w:cs="Arial"/>
        </w:rPr>
        <w:t>s</w:t>
      </w:r>
      <w:r w:rsidRPr="00103951">
        <w:rPr>
          <w:rFonts w:ascii="Arial" w:hAnsi="Arial" w:cs="Arial"/>
        </w:rPr>
        <w:t xml:space="preserve"> modelled unidirectional</w:t>
      </w:r>
      <w:r>
        <w:rPr>
          <w:rFonts w:ascii="Arial" w:hAnsi="Arial" w:cs="Arial"/>
        </w:rPr>
        <w:t xml:space="preserve"> (scenarios 2, 5, 8</w:t>
      </w:r>
      <w:proofErr w:type="gramStart"/>
      <w:r>
        <w:rPr>
          <w:rFonts w:ascii="Arial" w:hAnsi="Arial" w:cs="Arial"/>
        </w:rPr>
        <w:t>,11</w:t>
      </w:r>
      <w:proofErr w:type="gramEnd"/>
      <w:r>
        <w:rPr>
          <w:rFonts w:ascii="Arial" w:hAnsi="Arial" w:cs="Arial"/>
        </w:rPr>
        <w:t xml:space="preserve"> and scenarios 3, 6, 9,12)</w:t>
      </w:r>
      <w:r w:rsidRPr="00103951">
        <w:rPr>
          <w:rFonts w:ascii="Arial" w:hAnsi="Arial" w:cs="Arial"/>
        </w:rPr>
        <w:t xml:space="preserve"> as well as bidirectional </w:t>
      </w:r>
      <w:r>
        <w:rPr>
          <w:rFonts w:ascii="Arial" w:hAnsi="Arial" w:cs="Arial"/>
        </w:rPr>
        <w:t>(scenarios 4, 7, 10, 13)</w:t>
      </w:r>
      <w:r w:rsidRPr="00103951">
        <w:rPr>
          <w:rFonts w:ascii="Arial" w:hAnsi="Arial" w:cs="Arial"/>
        </w:rPr>
        <w:t xml:space="preserve"> migration</w:t>
      </w:r>
      <w:r>
        <w:rPr>
          <w:rFonts w:ascii="Arial" w:hAnsi="Arial" w:cs="Arial"/>
        </w:rPr>
        <w:t xml:space="preserve"> </w:t>
      </w:r>
      <w:r w:rsidRPr="00103951">
        <w:rPr>
          <w:rFonts w:ascii="Arial" w:hAnsi="Arial" w:cs="Arial"/>
        </w:rPr>
        <w:t xml:space="preserve">between the southern and northern populations. </w:t>
      </w:r>
      <w:r w:rsidRPr="00103951">
        <w:rPr>
          <w:rFonts w:ascii="Arial" w:hAnsi="Arial" w:cs="Arial"/>
          <w:i/>
        </w:rPr>
        <w:t>N</w:t>
      </w:r>
      <w:r w:rsidRPr="00103951">
        <w:rPr>
          <w:rFonts w:ascii="Arial" w:hAnsi="Arial" w:cs="Arial"/>
          <w:i/>
          <w:vertAlign w:val="subscript"/>
        </w:rPr>
        <w:t>1</w:t>
      </w:r>
      <w:r w:rsidRPr="00103951">
        <w:rPr>
          <w:rFonts w:ascii="Arial" w:hAnsi="Arial" w:cs="Arial"/>
        </w:rPr>
        <w:t xml:space="preserve">, ancestral effective population size; </w:t>
      </w:r>
      <w:bookmarkStart w:id="3" w:name="OLE_LINK12"/>
      <w:bookmarkStart w:id="4" w:name="OLE_LINK13"/>
      <w:r w:rsidRPr="00103951">
        <w:rPr>
          <w:rFonts w:ascii="Arial" w:hAnsi="Arial" w:cs="Arial"/>
          <w:i/>
        </w:rPr>
        <w:t>N</w:t>
      </w:r>
      <w:r w:rsidRPr="00103951">
        <w:rPr>
          <w:rFonts w:ascii="Arial" w:hAnsi="Arial" w:cs="Arial"/>
          <w:i/>
          <w:vertAlign w:val="subscript"/>
        </w:rPr>
        <w:t>0</w:t>
      </w:r>
      <w:r>
        <w:rPr>
          <w:rFonts w:ascii="Arial" w:hAnsi="Arial" w:cs="Arial"/>
          <w:i/>
          <w:vertAlign w:val="subscript"/>
        </w:rPr>
        <w:t>_SWR</w:t>
      </w:r>
      <w:r w:rsidRPr="00103951">
        <w:rPr>
          <w:rFonts w:ascii="Arial" w:hAnsi="Arial" w:cs="Arial"/>
        </w:rPr>
        <w:t xml:space="preserve">, </w:t>
      </w:r>
      <w:r>
        <w:rPr>
          <w:rFonts w:ascii="Arial" w:hAnsi="Arial" w:cs="Arial"/>
        </w:rPr>
        <w:t xml:space="preserve">southern white rhinoceros </w:t>
      </w:r>
      <w:r w:rsidRPr="00103951">
        <w:rPr>
          <w:rFonts w:ascii="Arial" w:hAnsi="Arial" w:cs="Arial"/>
        </w:rPr>
        <w:t>cu</w:t>
      </w:r>
      <w:r>
        <w:rPr>
          <w:rFonts w:ascii="Arial" w:hAnsi="Arial" w:cs="Arial"/>
        </w:rPr>
        <w:t>rrent effective population size</w:t>
      </w:r>
      <w:bookmarkEnd w:id="3"/>
      <w:bookmarkEnd w:id="4"/>
      <w:r>
        <w:rPr>
          <w:rFonts w:ascii="Arial" w:hAnsi="Arial" w:cs="Arial"/>
        </w:rPr>
        <w:t xml:space="preserve">; </w:t>
      </w:r>
      <w:r w:rsidRPr="00103951">
        <w:rPr>
          <w:rFonts w:ascii="Arial" w:hAnsi="Arial" w:cs="Arial"/>
          <w:i/>
        </w:rPr>
        <w:t>N</w:t>
      </w:r>
      <w:r w:rsidRPr="00103951">
        <w:rPr>
          <w:rFonts w:ascii="Arial" w:hAnsi="Arial" w:cs="Arial"/>
          <w:i/>
          <w:vertAlign w:val="subscript"/>
        </w:rPr>
        <w:t>0</w:t>
      </w:r>
      <w:r>
        <w:rPr>
          <w:rFonts w:ascii="Arial" w:hAnsi="Arial" w:cs="Arial"/>
          <w:i/>
          <w:vertAlign w:val="subscript"/>
        </w:rPr>
        <w:t>_NWR</w:t>
      </w:r>
      <w:r w:rsidRPr="00103951">
        <w:rPr>
          <w:rFonts w:ascii="Arial" w:hAnsi="Arial" w:cs="Arial"/>
        </w:rPr>
        <w:t xml:space="preserve">, </w:t>
      </w:r>
      <w:r>
        <w:rPr>
          <w:rFonts w:ascii="Arial" w:hAnsi="Arial" w:cs="Arial"/>
        </w:rPr>
        <w:t xml:space="preserve">northern white rhinoceros </w:t>
      </w:r>
      <w:r w:rsidRPr="00103951">
        <w:rPr>
          <w:rFonts w:ascii="Arial" w:hAnsi="Arial" w:cs="Arial"/>
        </w:rPr>
        <w:t>cu</w:t>
      </w:r>
      <w:r>
        <w:rPr>
          <w:rFonts w:ascii="Arial" w:hAnsi="Arial" w:cs="Arial"/>
        </w:rPr>
        <w:t xml:space="preserve">rrent effective population </w:t>
      </w:r>
      <w:r w:rsidRPr="00103951">
        <w:rPr>
          <w:rFonts w:ascii="Arial" w:hAnsi="Arial" w:cs="Arial"/>
        </w:rPr>
        <w:t>size;</w:t>
      </w:r>
      <w:r>
        <w:rPr>
          <w:rFonts w:ascii="Arial" w:hAnsi="Arial" w:cs="Arial"/>
          <w:i/>
        </w:rPr>
        <w:t xml:space="preserve"> </w:t>
      </w:r>
      <w:r w:rsidRPr="00103951">
        <w:rPr>
          <w:rFonts w:ascii="Arial" w:hAnsi="Arial" w:cs="Arial"/>
          <w:i/>
        </w:rPr>
        <w:t>T</w:t>
      </w:r>
      <w:r w:rsidRPr="00103951">
        <w:rPr>
          <w:rFonts w:ascii="Arial" w:hAnsi="Arial" w:cs="Arial"/>
        </w:rPr>
        <w:t>, time since population size change.</w:t>
      </w:r>
      <w:r>
        <w:rPr>
          <w:rFonts w:ascii="Arial" w:hAnsi="Arial" w:cs="Arial"/>
        </w:rPr>
        <w:t xml:space="preserve"> Scenario numbers correspond to those in ESM1, Table S7.</w:t>
      </w:r>
    </w:p>
    <w:p w:rsidR="001F0DF0" w:rsidRDefault="001F0DF0" w:rsidP="001F0DF0">
      <w:pPr>
        <w:jc w:val="center"/>
      </w:pPr>
      <w:r>
        <w:rPr>
          <w:noProof/>
          <w:lang w:val="en-US"/>
        </w:rPr>
        <w:drawing>
          <wp:inline distT="0" distB="0" distL="0" distR="0" wp14:anchorId="7A7A68CF" wp14:editId="4513C4EF">
            <wp:extent cx="8278679" cy="2743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_B.pdf"/>
                    <pic:cNvPicPr/>
                  </pic:nvPicPr>
                  <pic:blipFill rotWithShape="1">
                    <a:blip r:embed="rId10">
                      <a:extLst>
                        <a:ext uri="{28A0092B-C50C-407E-A947-70E740481C1C}">
                          <a14:useLocalDpi xmlns:a14="http://schemas.microsoft.com/office/drawing/2010/main" val="0"/>
                        </a:ext>
                      </a:extLst>
                    </a:blip>
                    <a:srcRect t="18206" b="22889"/>
                    <a:stretch/>
                  </pic:blipFill>
                  <pic:spPr bwMode="auto">
                    <a:xfrm>
                      <a:off x="0" y="0"/>
                      <a:ext cx="8385690" cy="2778659"/>
                    </a:xfrm>
                    <a:prstGeom prst="rect">
                      <a:avLst/>
                    </a:prstGeom>
                    <a:ln>
                      <a:noFill/>
                    </a:ln>
                    <a:extLst>
                      <a:ext uri="{53640926-AAD7-44D8-BBD7-CCE9431645EC}">
                        <a14:shadowObscured xmlns:a14="http://schemas.microsoft.com/office/drawing/2010/main"/>
                      </a:ext>
                    </a:extLst>
                  </pic:spPr>
                </pic:pic>
              </a:graphicData>
            </a:graphic>
          </wp:inline>
        </w:drawing>
      </w:r>
    </w:p>
    <w:p w:rsidR="001F0DF0" w:rsidRDefault="001F0DF0" w:rsidP="001F0DF0">
      <w:pPr>
        <w:spacing w:after="160" w:line="259" w:lineRule="auto"/>
        <w:rPr>
          <w:rFonts w:ascii="Arial" w:hAnsi="Arial" w:cs="Arial"/>
          <w:b/>
        </w:rPr>
      </w:pPr>
    </w:p>
    <w:p w:rsidR="001F0DF0" w:rsidRDefault="001F0DF0" w:rsidP="001F0DF0">
      <w:pPr>
        <w:spacing w:after="160" w:line="259" w:lineRule="auto"/>
        <w:rPr>
          <w:rFonts w:ascii="Arial" w:hAnsi="Arial" w:cs="Arial"/>
          <w:b/>
        </w:rPr>
        <w:sectPr w:rsidR="001F0DF0" w:rsidSect="00975099">
          <w:pgSz w:w="15840" w:h="12240" w:orient="landscape"/>
          <w:pgMar w:top="1440" w:right="1440" w:bottom="1440" w:left="1440" w:header="708" w:footer="708" w:gutter="0"/>
          <w:cols w:space="708"/>
          <w:docGrid w:linePitch="360"/>
        </w:sectPr>
      </w:pPr>
    </w:p>
    <w:p w:rsidR="001F0DF0" w:rsidRDefault="001F0DF0" w:rsidP="001F0DF0">
      <w:pPr>
        <w:autoSpaceDE w:val="0"/>
        <w:autoSpaceDN w:val="0"/>
        <w:adjustRightInd w:val="0"/>
        <w:spacing w:after="23" w:line="360" w:lineRule="auto"/>
        <w:jc w:val="both"/>
        <w:rPr>
          <w:rFonts w:ascii="Arial" w:hAnsi="Arial" w:cs="Arial"/>
        </w:rPr>
      </w:pPr>
      <w:r>
        <w:rPr>
          <w:rFonts w:ascii="Arial" w:hAnsi="Arial" w:cs="Arial"/>
          <w:b/>
        </w:rPr>
        <w:lastRenderedPageBreak/>
        <w:t>Figure S4</w:t>
      </w:r>
      <w:r w:rsidRPr="00661BD7">
        <w:rPr>
          <w:rFonts w:ascii="Arial" w:hAnsi="Arial" w:cs="Arial"/>
          <w:b/>
        </w:rPr>
        <w:t>.</w:t>
      </w:r>
      <w:r w:rsidRPr="00661BD7">
        <w:rPr>
          <w:rFonts w:ascii="Arial" w:hAnsi="Arial" w:cs="Arial"/>
        </w:rPr>
        <w:t xml:space="preserve"> </w:t>
      </w:r>
      <w:r w:rsidRPr="00A52AC6">
        <w:rPr>
          <w:rFonts w:ascii="Arial" w:hAnsi="Arial" w:cs="Arial"/>
        </w:rPr>
        <w:t>Genetic structure of the white rhinoceros showing clear separation into two populations. Structuring of multilocus nuclear microsatellite profiles (</w:t>
      </w:r>
      <w:r w:rsidRPr="00A52AC6">
        <w:rPr>
          <w:rFonts w:ascii="Arial" w:hAnsi="Arial" w:cs="Arial"/>
          <w:i/>
        </w:rPr>
        <w:t>k</w:t>
      </w:r>
      <w:r w:rsidRPr="00A52AC6">
        <w:rPr>
          <w:rFonts w:ascii="Arial" w:hAnsi="Arial" w:cs="Arial"/>
        </w:rPr>
        <w:t xml:space="preserve"> = </w:t>
      </w:r>
      <w:r>
        <w:rPr>
          <w:rFonts w:ascii="Arial" w:hAnsi="Arial" w:cs="Arial"/>
        </w:rPr>
        <w:t xml:space="preserve">1 to </w:t>
      </w:r>
      <w:r w:rsidRPr="006D3848">
        <w:rPr>
          <w:rFonts w:ascii="Arial" w:hAnsi="Arial" w:cs="Arial"/>
          <w:i/>
        </w:rPr>
        <w:t>k</w:t>
      </w:r>
      <w:r>
        <w:rPr>
          <w:rFonts w:ascii="Arial" w:hAnsi="Arial" w:cs="Arial"/>
        </w:rPr>
        <w:t xml:space="preserve"> = 7</w:t>
      </w:r>
      <w:r w:rsidRPr="00A52AC6">
        <w:rPr>
          <w:rFonts w:ascii="Arial" w:hAnsi="Arial" w:cs="Arial"/>
        </w:rPr>
        <w:t>).</w:t>
      </w:r>
    </w:p>
    <w:p w:rsidR="00BE3456" w:rsidRPr="00BE3456" w:rsidRDefault="00BE3456" w:rsidP="001F0DF0">
      <w:pPr>
        <w:autoSpaceDE w:val="0"/>
        <w:autoSpaceDN w:val="0"/>
        <w:adjustRightInd w:val="0"/>
        <w:spacing w:after="23" w:line="360" w:lineRule="auto"/>
        <w:jc w:val="both"/>
        <w:rPr>
          <w:rFonts w:ascii="Arial" w:hAnsi="Arial" w:cs="Arial"/>
        </w:rPr>
      </w:pPr>
    </w:p>
    <w:p w:rsidR="001F0DF0" w:rsidRDefault="001F0DF0" w:rsidP="001F0DF0">
      <w:pPr>
        <w:autoSpaceDE w:val="0"/>
        <w:autoSpaceDN w:val="0"/>
        <w:adjustRightInd w:val="0"/>
        <w:spacing w:after="23" w:line="360" w:lineRule="auto"/>
        <w:jc w:val="center"/>
        <w:rPr>
          <w:rFonts w:ascii="Arial" w:hAnsi="Arial" w:cs="Arial"/>
          <w:b/>
        </w:rPr>
        <w:sectPr w:rsidR="001F0DF0">
          <w:pgSz w:w="12240" w:h="15840"/>
          <w:pgMar w:top="1440" w:right="1440" w:bottom="1440" w:left="1440" w:header="708" w:footer="708" w:gutter="0"/>
          <w:cols w:space="708"/>
          <w:docGrid w:linePitch="360"/>
        </w:sectPr>
      </w:pPr>
      <w:r>
        <w:rPr>
          <w:rFonts w:ascii="Arial" w:hAnsi="Arial" w:cs="Arial"/>
          <w:b/>
          <w:noProof/>
          <w:lang w:val="en-US"/>
        </w:rPr>
        <w:drawing>
          <wp:inline distT="0" distB="0" distL="0" distR="0" wp14:anchorId="2FCB237B" wp14:editId="1F1D0080">
            <wp:extent cx="4290660" cy="6874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xxNEW STRUCTURE PLOTS 10 Loci. pdf.pdf"/>
                    <pic:cNvPicPr/>
                  </pic:nvPicPr>
                  <pic:blipFill rotWithShape="1">
                    <a:blip r:embed="rId11">
                      <a:extLst>
                        <a:ext uri="{28A0092B-C50C-407E-A947-70E740481C1C}">
                          <a14:useLocalDpi xmlns:a14="http://schemas.microsoft.com/office/drawing/2010/main" val="0"/>
                        </a:ext>
                      </a:extLst>
                    </a:blip>
                    <a:srcRect l="8879" r="2791"/>
                    <a:stretch/>
                  </pic:blipFill>
                  <pic:spPr bwMode="auto">
                    <a:xfrm>
                      <a:off x="0" y="0"/>
                      <a:ext cx="4293900" cy="6879328"/>
                    </a:xfrm>
                    <a:prstGeom prst="rect">
                      <a:avLst/>
                    </a:prstGeom>
                    <a:ln>
                      <a:noFill/>
                    </a:ln>
                    <a:extLst>
                      <a:ext uri="{53640926-AAD7-44D8-BBD7-CCE9431645EC}">
                        <a14:shadowObscured xmlns:a14="http://schemas.microsoft.com/office/drawing/2010/main"/>
                      </a:ext>
                    </a:extLst>
                  </pic:spPr>
                </pic:pic>
              </a:graphicData>
            </a:graphic>
          </wp:inline>
        </w:drawing>
      </w:r>
    </w:p>
    <w:p w:rsidR="001F0DF0" w:rsidRDefault="001F0DF0" w:rsidP="001F0DF0">
      <w:pPr>
        <w:autoSpaceDE w:val="0"/>
        <w:autoSpaceDN w:val="0"/>
        <w:adjustRightInd w:val="0"/>
        <w:spacing w:after="23" w:line="360" w:lineRule="auto"/>
        <w:jc w:val="both"/>
        <w:rPr>
          <w:rFonts w:ascii="Arial" w:hAnsi="Arial" w:cs="Arial"/>
        </w:rPr>
      </w:pPr>
      <w:r>
        <w:rPr>
          <w:rFonts w:ascii="Arial" w:hAnsi="Arial" w:cs="Arial"/>
          <w:b/>
        </w:rPr>
        <w:lastRenderedPageBreak/>
        <w:t>Figure S5</w:t>
      </w:r>
      <w:r w:rsidRPr="00661BD7">
        <w:rPr>
          <w:rFonts w:ascii="Arial" w:hAnsi="Arial" w:cs="Arial"/>
          <w:b/>
        </w:rPr>
        <w:t>.</w:t>
      </w:r>
      <w:r w:rsidRPr="00661BD7">
        <w:rPr>
          <w:rFonts w:ascii="Arial" w:hAnsi="Arial" w:cs="Arial"/>
        </w:rPr>
        <w:t xml:space="preserve"> Changes in prehistoric effective population size (</w:t>
      </w:r>
      <w:r w:rsidRPr="00661BD7">
        <w:rPr>
          <w:rFonts w:ascii="Arial" w:hAnsi="Arial" w:cs="Arial"/>
          <w:i/>
        </w:rPr>
        <w:t>N</w:t>
      </w:r>
      <w:r w:rsidRPr="00661BD7">
        <w:rPr>
          <w:rFonts w:ascii="Arial" w:hAnsi="Arial" w:cs="Arial"/>
        </w:rPr>
        <w:t xml:space="preserve">) for southern and northern white rhinoceros populations using a </w:t>
      </w:r>
      <w:r w:rsidRPr="00126723">
        <w:rPr>
          <w:rFonts w:ascii="Arial" w:hAnsi="Arial" w:cs="Arial"/>
        </w:rPr>
        <w:t>Bayesian coalescent approach. The posterior distributions</w:t>
      </w:r>
      <w:r w:rsidRPr="00661BD7">
        <w:rPr>
          <w:rFonts w:ascii="Arial" w:hAnsi="Arial" w:cs="Arial"/>
        </w:rPr>
        <w:t xml:space="preserve"> of current (</w:t>
      </w:r>
      <w:r w:rsidRPr="00661BD7">
        <w:rPr>
          <w:rFonts w:ascii="Arial" w:hAnsi="Arial" w:cs="Arial"/>
          <w:i/>
        </w:rPr>
        <w:t>N</w:t>
      </w:r>
      <w:r w:rsidRPr="00661BD7">
        <w:rPr>
          <w:rFonts w:ascii="Arial" w:hAnsi="Arial" w:cs="Arial"/>
          <w:b/>
          <w:i/>
          <w:vertAlign w:val="subscript"/>
        </w:rPr>
        <w:t>0</w:t>
      </w:r>
      <w:r w:rsidRPr="00661BD7">
        <w:rPr>
          <w:rFonts w:ascii="Arial" w:hAnsi="Arial" w:cs="Arial"/>
        </w:rPr>
        <w:t>) and ancestral (</w:t>
      </w:r>
      <w:r w:rsidRPr="00661BD7">
        <w:rPr>
          <w:rFonts w:ascii="Arial" w:hAnsi="Arial" w:cs="Arial"/>
          <w:i/>
        </w:rPr>
        <w:t>N</w:t>
      </w:r>
      <w:r w:rsidRPr="00661BD7">
        <w:rPr>
          <w:rFonts w:ascii="Arial" w:hAnsi="Arial" w:cs="Arial"/>
          <w:b/>
          <w:i/>
          <w:vertAlign w:val="subscript"/>
        </w:rPr>
        <w:t>1</w:t>
      </w:r>
      <w:r w:rsidRPr="00661BD7">
        <w:rPr>
          <w:rFonts w:ascii="Arial" w:hAnsi="Arial" w:cs="Arial"/>
        </w:rPr>
        <w:t xml:space="preserve">) effective population sizes are given for three independent </w:t>
      </w:r>
      <w:proofErr w:type="spellStart"/>
      <w:r w:rsidRPr="00661BD7">
        <w:rPr>
          <w:rFonts w:ascii="Arial" w:hAnsi="Arial" w:cs="Arial"/>
        </w:rPr>
        <w:t>MSVar</w:t>
      </w:r>
      <w:proofErr w:type="spellEnd"/>
      <w:r w:rsidRPr="00661BD7">
        <w:rPr>
          <w:rFonts w:ascii="Arial" w:hAnsi="Arial" w:cs="Arial"/>
        </w:rPr>
        <w:t xml:space="preserve"> runs for </w:t>
      </w:r>
      <w:r>
        <w:rPr>
          <w:rFonts w:ascii="Arial" w:hAnsi="Arial" w:cs="Arial"/>
        </w:rPr>
        <w:t xml:space="preserve">the southern white rhinoceros (SWR; </w:t>
      </w:r>
      <w:r w:rsidRPr="00661BD7">
        <w:rPr>
          <w:rFonts w:ascii="Arial" w:hAnsi="Arial" w:cs="Arial"/>
        </w:rPr>
        <w:t xml:space="preserve">A) and </w:t>
      </w:r>
      <w:r>
        <w:rPr>
          <w:rFonts w:ascii="Arial" w:hAnsi="Arial" w:cs="Arial"/>
        </w:rPr>
        <w:t xml:space="preserve">the northern white rhinoceros (NWR; </w:t>
      </w:r>
      <w:r w:rsidRPr="00661BD7">
        <w:rPr>
          <w:rFonts w:ascii="Arial" w:hAnsi="Arial" w:cs="Arial"/>
        </w:rPr>
        <w:t xml:space="preserve">C) and show a population decline in both cases. Timing </w:t>
      </w:r>
      <w:r>
        <w:rPr>
          <w:rFonts w:ascii="Arial" w:hAnsi="Arial" w:cs="Arial"/>
        </w:rPr>
        <w:t>of demographic declines for SWR</w:t>
      </w:r>
      <w:r w:rsidRPr="00661BD7">
        <w:rPr>
          <w:rFonts w:ascii="Arial" w:hAnsi="Arial" w:cs="Arial"/>
        </w:rPr>
        <w:t xml:space="preserve"> a</w:t>
      </w:r>
      <w:r>
        <w:rPr>
          <w:rFonts w:ascii="Arial" w:hAnsi="Arial" w:cs="Arial"/>
        </w:rPr>
        <w:t xml:space="preserve">nd NWR are indicated in Figures B and </w:t>
      </w:r>
      <w:r w:rsidRPr="00661BD7">
        <w:rPr>
          <w:rFonts w:ascii="Arial" w:hAnsi="Arial" w:cs="Arial"/>
        </w:rPr>
        <w:t xml:space="preserve">D, respectively. Coloured solid lines indicate the posterior distributions whereas the dotted lines represent the prior distributions. </w:t>
      </w:r>
      <w:r>
        <w:rPr>
          <w:rFonts w:ascii="Arial" w:hAnsi="Arial" w:cs="Arial"/>
        </w:rPr>
        <w:t xml:space="preserve">For each population, lighter colours depict the posterior distribution of </w:t>
      </w:r>
      <w:r w:rsidRPr="00661BD7">
        <w:rPr>
          <w:rFonts w:ascii="Arial" w:hAnsi="Arial" w:cs="Arial"/>
          <w:i/>
        </w:rPr>
        <w:t>N</w:t>
      </w:r>
      <w:r>
        <w:rPr>
          <w:rFonts w:ascii="Arial" w:hAnsi="Arial" w:cs="Arial"/>
          <w:b/>
          <w:i/>
          <w:vertAlign w:val="subscript"/>
        </w:rPr>
        <w:t>1</w:t>
      </w:r>
      <w:r>
        <w:rPr>
          <w:rFonts w:ascii="Arial" w:hAnsi="Arial" w:cs="Arial"/>
        </w:rPr>
        <w:t xml:space="preserve">, whereas darker shades show the posterior distribution of </w:t>
      </w:r>
      <w:r w:rsidRPr="00661BD7">
        <w:rPr>
          <w:rFonts w:ascii="Arial" w:hAnsi="Arial" w:cs="Arial"/>
          <w:i/>
        </w:rPr>
        <w:t>N</w:t>
      </w:r>
      <w:r w:rsidRPr="00661BD7">
        <w:rPr>
          <w:rFonts w:ascii="Arial" w:hAnsi="Arial" w:cs="Arial"/>
          <w:b/>
          <w:i/>
          <w:vertAlign w:val="subscript"/>
        </w:rPr>
        <w:t>0</w:t>
      </w:r>
      <w:r>
        <w:rPr>
          <w:rFonts w:ascii="Arial" w:hAnsi="Arial" w:cs="Arial"/>
        </w:rPr>
        <w:t>.</w:t>
      </w:r>
      <w:r w:rsidRPr="00661BD7">
        <w:rPr>
          <w:rFonts w:ascii="Arial" w:hAnsi="Arial" w:cs="Arial"/>
        </w:rPr>
        <w:t xml:space="preserve"> All parameters are given in log10 scale, for</w:t>
      </w:r>
      <w:r>
        <w:rPr>
          <w:rFonts w:ascii="Arial" w:hAnsi="Arial" w:cs="Arial"/>
        </w:rPr>
        <w:t xml:space="preserve"> m</w:t>
      </w:r>
      <w:r w:rsidRPr="00270287">
        <w:rPr>
          <w:rFonts w:ascii="Arial" w:hAnsi="Arial" w:cs="Arial"/>
        </w:rPr>
        <w:t>edian values and the 90% highest probability density (HPD) limits of the posterior distributions</w:t>
      </w:r>
      <w:r>
        <w:rPr>
          <w:rFonts w:ascii="Arial" w:hAnsi="Arial" w:cs="Arial"/>
        </w:rPr>
        <w:t xml:space="preserve"> see ESM1, Table S</w:t>
      </w:r>
      <w:r w:rsidR="00410931">
        <w:rPr>
          <w:rFonts w:ascii="Arial" w:hAnsi="Arial" w:cs="Arial"/>
        </w:rPr>
        <w:t>9</w:t>
      </w:r>
      <w:r w:rsidRPr="00661BD7">
        <w:rPr>
          <w:rFonts w:ascii="Arial" w:hAnsi="Arial" w:cs="Arial"/>
        </w:rPr>
        <w:t>.</w:t>
      </w:r>
    </w:p>
    <w:p w:rsidR="001F0DF0" w:rsidRDefault="001F0DF0" w:rsidP="001F0DF0">
      <w:pPr>
        <w:autoSpaceDE w:val="0"/>
        <w:autoSpaceDN w:val="0"/>
        <w:adjustRightInd w:val="0"/>
        <w:spacing w:after="23" w:line="360" w:lineRule="auto"/>
        <w:jc w:val="center"/>
        <w:rPr>
          <w:rFonts w:ascii="Arial" w:hAnsi="Arial" w:cs="Arial"/>
          <w:b/>
        </w:rPr>
        <w:sectPr w:rsidR="001F0DF0">
          <w:pgSz w:w="12240" w:h="15840"/>
          <w:pgMar w:top="1440" w:right="1440" w:bottom="1440" w:left="1440" w:header="708" w:footer="708" w:gutter="0"/>
          <w:cols w:space="708"/>
          <w:docGrid w:linePitch="360"/>
        </w:sectPr>
      </w:pPr>
      <w:r>
        <w:rPr>
          <w:rFonts w:ascii="Arial" w:hAnsi="Arial" w:cs="Arial"/>
          <w:noProof/>
          <w:lang w:val="en-US"/>
        </w:rPr>
        <w:drawing>
          <wp:inline distT="0" distB="0" distL="0" distR="0" wp14:anchorId="36A8E7AC" wp14:editId="08CC7BAB">
            <wp:extent cx="4910667" cy="5518855"/>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pdf"/>
                    <pic:cNvPicPr/>
                  </pic:nvPicPr>
                  <pic:blipFill rotWithShape="1">
                    <a:blip r:embed="rId12">
                      <a:extLst>
                        <a:ext uri="{28A0092B-C50C-407E-A947-70E740481C1C}">
                          <a14:useLocalDpi xmlns:a14="http://schemas.microsoft.com/office/drawing/2010/main" val="0"/>
                        </a:ext>
                      </a:extLst>
                    </a:blip>
                    <a:srcRect l="14173" t="12208" r="15162" b="31674"/>
                    <a:stretch/>
                  </pic:blipFill>
                  <pic:spPr bwMode="auto">
                    <a:xfrm>
                      <a:off x="0" y="0"/>
                      <a:ext cx="4926235" cy="5536351"/>
                    </a:xfrm>
                    <a:prstGeom prst="rect">
                      <a:avLst/>
                    </a:prstGeom>
                    <a:ln>
                      <a:noFill/>
                    </a:ln>
                    <a:extLst>
                      <a:ext uri="{53640926-AAD7-44D8-BBD7-CCE9431645EC}">
                        <a14:shadowObscured xmlns:a14="http://schemas.microsoft.com/office/drawing/2010/main"/>
                      </a:ext>
                    </a:extLst>
                  </pic:spPr>
                </pic:pic>
              </a:graphicData>
            </a:graphic>
          </wp:inline>
        </w:drawing>
      </w:r>
    </w:p>
    <w:p w:rsidR="001F0DF0" w:rsidRPr="006326C5" w:rsidRDefault="001F0DF0" w:rsidP="001F0DF0">
      <w:pPr>
        <w:pStyle w:val="FWFHeading2"/>
        <w:spacing w:line="360" w:lineRule="auto"/>
        <w:jc w:val="both"/>
        <w:rPr>
          <w:b w:val="0"/>
          <w:color w:val="000000" w:themeColor="text1"/>
        </w:rPr>
      </w:pPr>
      <w:r w:rsidRPr="006326C5">
        <w:rPr>
          <w:color w:val="000000" w:themeColor="text1"/>
        </w:rPr>
        <w:lastRenderedPageBreak/>
        <w:t>Figure S6.</w:t>
      </w:r>
      <w:r w:rsidRPr="006326C5">
        <w:rPr>
          <w:b w:val="0"/>
          <w:color w:val="000000" w:themeColor="text1"/>
        </w:rPr>
        <w:t xml:space="preserve"> The most likely scenarios for human-induced demographic changes in southern and northern white rhinoceros tested using an approximate Bayesian framework. </w:t>
      </w:r>
      <w:r w:rsidRPr="006326C5">
        <w:rPr>
          <w:b w:val="0"/>
          <w:i/>
          <w:color w:val="000000" w:themeColor="text1"/>
        </w:rPr>
        <w:t>N</w:t>
      </w:r>
      <w:r w:rsidRPr="006326C5">
        <w:rPr>
          <w:b w:val="0"/>
          <w:i/>
          <w:color w:val="000000" w:themeColor="text1"/>
          <w:vertAlign w:val="subscript"/>
        </w:rPr>
        <w:t>1</w:t>
      </w:r>
      <w:r w:rsidRPr="006326C5">
        <w:rPr>
          <w:b w:val="0"/>
          <w:color w:val="000000" w:themeColor="text1"/>
        </w:rPr>
        <w:t xml:space="preserve">, ancestral effective population size; </w:t>
      </w:r>
      <w:r w:rsidRPr="006326C5">
        <w:rPr>
          <w:b w:val="0"/>
          <w:i/>
          <w:color w:val="000000" w:themeColor="text1"/>
        </w:rPr>
        <w:t>N</w:t>
      </w:r>
      <w:r w:rsidRPr="006326C5">
        <w:rPr>
          <w:b w:val="0"/>
          <w:i/>
          <w:color w:val="000000" w:themeColor="text1"/>
          <w:vertAlign w:val="subscript"/>
        </w:rPr>
        <w:t>0</w:t>
      </w:r>
      <w:r w:rsidRPr="006326C5">
        <w:rPr>
          <w:b w:val="0"/>
          <w:color w:val="000000" w:themeColor="text1"/>
        </w:rPr>
        <w:t>, current effective population size, T, time since population size change. Inset figures on the left and right indicate the posterior distributions of the estimated parameters for the SWR and the NWR populations, respectively. MD = marginal density of the posterior distributions.</w:t>
      </w:r>
    </w:p>
    <w:p w:rsidR="001F0DF0" w:rsidRDefault="001F0DF0" w:rsidP="001F0DF0">
      <w:pPr>
        <w:spacing w:after="0" w:line="360" w:lineRule="auto"/>
        <w:jc w:val="center"/>
        <w:rPr>
          <w:rFonts w:ascii="Arial" w:hAnsi="Arial" w:cs="Arial"/>
          <w:b/>
          <w:color w:val="222222"/>
          <w:shd w:val="clear" w:color="auto" w:fill="FFFFFF"/>
        </w:rPr>
      </w:pPr>
    </w:p>
    <w:p w:rsidR="00F64F18" w:rsidRDefault="00F64F18" w:rsidP="001F0DF0">
      <w:pPr>
        <w:spacing w:after="0" w:line="360" w:lineRule="auto"/>
        <w:jc w:val="center"/>
        <w:rPr>
          <w:rFonts w:ascii="Arial" w:hAnsi="Arial" w:cs="Arial"/>
          <w:b/>
          <w:color w:val="222222"/>
          <w:shd w:val="clear" w:color="auto" w:fill="FFFFFF"/>
        </w:rPr>
        <w:sectPr w:rsidR="00F64F18" w:rsidSect="006326C5">
          <w:pgSz w:w="15840" w:h="12240" w:orient="landscape"/>
          <w:pgMar w:top="1440" w:right="1440" w:bottom="1440" w:left="1440" w:header="708" w:footer="708" w:gutter="0"/>
          <w:cols w:space="708"/>
          <w:docGrid w:linePitch="360"/>
        </w:sectPr>
      </w:pPr>
      <w:r>
        <w:rPr>
          <w:rFonts w:ascii="Arial" w:hAnsi="Arial" w:cs="Arial"/>
          <w:b/>
          <w:noProof/>
          <w:color w:val="222222"/>
          <w:shd w:val="clear" w:color="auto" w:fill="FFFFFF"/>
          <w:lang w:val="en-US"/>
        </w:rPr>
        <w:drawing>
          <wp:inline distT="0" distB="0" distL="0" distR="0">
            <wp:extent cx="8229600" cy="4629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6.pdf"/>
                    <pic:cNvPicPr/>
                  </pic:nvPicPr>
                  <pic:blipFill>
                    <a:blip r:embed="rId13">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rsidR="001F0DF0" w:rsidRPr="00E64B34" w:rsidRDefault="001F0DF0" w:rsidP="001F0DF0">
      <w:pPr>
        <w:spacing w:after="0" w:line="360" w:lineRule="auto"/>
        <w:rPr>
          <w:rFonts w:ascii="Arial" w:hAnsi="Arial" w:cs="Arial"/>
          <w:b/>
          <w:color w:val="222222"/>
          <w:shd w:val="clear" w:color="auto" w:fill="FFFFFF"/>
        </w:rPr>
      </w:pPr>
      <w:r w:rsidRPr="00E64B34">
        <w:rPr>
          <w:rFonts w:ascii="Arial" w:hAnsi="Arial" w:cs="Arial"/>
          <w:b/>
          <w:color w:val="222222"/>
          <w:shd w:val="clear" w:color="auto" w:fill="FFFFFF"/>
        </w:rPr>
        <w:lastRenderedPageBreak/>
        <w:t>Supplementary References</w:t>
      </w:r>
    </w:p>
    <w:p w:rsidR="001F0DF0" w:rsidRPr="008155BC" w:rsidRDefault="001F0DF0" w:rsidP="001F0DF0">
      <w:pPr>
        <w:spacing w:after="0" w:line="360" w:lineRule="auto"/>
        <w:rPr>
          <w:rFonts w:ascii="Arial" w:hAnsi="Arial" w:cs="Arial"/>
          <w:b/>
          <w:color w:val="222222"/>
          <w:sz w:val="20"/>
          <w:szCs w:val="20"/>
          <w:shd w:val="clear" w:color="auto" w:fill="FFFFFF"/>
        </w:rPr>
      </w:pPr>
    </w:p>
    <w:p w:rsidR="001F0DF0" w:rsidRDefault="001F0DF0" w:rsidP="001F0DF0">
      <w:pPr>
        <w:pStyle w:val="FWFHeading2"/>
        <w:spacing w:after="200" w:line="360" w:lineRule="auto"/>
        <w:jc w:val="both"/>
        <w:rPr>
          <w:b w:val="0"/>
          <w:color w:val="auto"/>
        </w:rPr>
      </w:pPr>
      <w:proofErr w:type="spellStart"/>
      <w:r w:rsidRPr="00026937">
        <w:rPr>
          <w:b w:val="0"/>
          <w:color w:val="auto"/>
        </w:rPr>
        <w:t>Robovský</w:t>
      </w:r>
      <w:proofErr w:type="spellEnd"/>
      <w:r w:rsidRPr="00026937">
        <w:rPr>
          <w:b w:val="0"/>
          <w:color w:val="auto"/>
        </w:rPr>
        <w:t xml:space="preserve">, J., </w:t>
      </w:r>
      <w:proofErr w:type="spellStart"/>
      <w:r w:rsidRPr="00026937">
        <w:rPr>
          <w:b w:val="0"/>
          <w:color w:val="auto"/>
        </w:rPr>
        <w:t>And</w:t>
      </w:r>
      <w:r>
        <w:rPr>
          <w:b w:val="0"/>
          <w:color w:val="auto"/>
        </w:rPr>
        <w:t>ě</w:t>
      </w:r>
      <w:r w:rsidRPr="00026937">
        <w:rPr>
          <w:b w:val="0"/>
          <w:color w:val="auto"/>
        </w:rPr>
        <w:t>ra</w:t>
      </w:r>
      <w:proofErr w:type="spellEnd"/>
      <w:r w:rsidRPr="00026937">
        <w:rPr>
          <w:b w:val="0"/>
          <w:color w:val="auto"/>
        </w:rPr>
        <w:t xml:space="preserve">, M. and Benda, P., 2010. Revised catalogue of </w:t>
      </w:r>
      <w:proofErr w:type="spellStart"/>
      <w:r w:rsidRPr="00026937">
        <w:rPr>
          <w:b w:val="0"/>
          <w:color w:val="auto"/>
        </w:rPr>
        <w:t>ceratomorph</w:t>
      </w:r>
      <w:proofErr w:type="spellEnd"/>
      <w:r w:rsidRPr="00026937">
        <w:rPr>
          <w:b w:val="0"/>
          <w:color w:val="auto"/>
        </w:rPr>
        <w:t xml:space="preserve"> ungulates in the collection of the National Museum Prague and several other collections in the Czech Republic (</w:t>
      </w:r>
      <w:proofErr w:type="spellStart"/>
      <w:r w:rsidRPr="00026937">
        <w:rPr>
          <w:b w:val="0"/>
          <w:color w:val="auto"/>
        </w:rPr>
        <w:t>Perissodactyla</w:t>
      </w:r>
      <w:proofErr w:type="spellEnd"/>
      <w:r w:rsidRPr="00026937">
        <w:rPr>
          <w:b w:val="0"/>
          <w:color w:val="auto"/>
        </w:rPr>
        <w:t xml:space="preserve">: </w:t>
      </w:r>
      <w:proofErr w:type="spellStart"/>
      <w:r w:rsidRPr="00026937">
        <w:rPr>
          <w:b w:val="0"/>
          <w:color w:val="auto"/>
        </w:rPr>
        <w:t>Rhinocerotidae</w:t>
      </w:r>
      <w:proofErr w:type="spellEnd"/>
      <w:r w:rsidRPr="00026937">
        <w:rPr>
          <w:b w:val="0"/>
          <w:color w:val="auto"/>
        </w:rPr>
        <w:t xml:space="preserve">, </w:t>
      </w:r>
      <w:proofErr w:type="spellStart"/>
      <w:r w:rsidRPr="00026937">
        <w:rPr>
          <w:b w:val="0"/>
          <w:color w:val="auto"/>
        </w:rPr>
        <w:t>Tapiridae</w:t>
      </w:r>
      <w:proofErr w:type="spellEnd"/>
      <w:r w:rsidRPr="00026937">
        <w:rPr>
          <w:b w:val="0"/>
          <w:color w:val="auto"/>
        </w:rPr>
        <w:t xml:space="preserve">). </w:t>
      </w:r>
      <w:r w:rsidRPr="00026937">
        <w:rPr>
          <w:b w:val="0"/>
          <w:i/>
          <w:color w:val="auto"/>
        </w:rPr>
        <w:t>Lynx, Series Nova</w:t>
      </w:r>
      <w:r w:rsidRPr="00026937">
        <w:rPr>
          <w:b w:val="0"/>
          <w:color w:val="auto"/>
        </w:rPr>
        <w:t xml:space="preserve"> 41(1).</w:t>
      </w:r>
    </w:p>
    <w:p w:rsidR="001F0DF0" w:rsidRPr="008155BC" w:rsidRDefault="001F0DF0" w:rsidP="001F0DF0">
      <w:pPr>
        <w:spacing w:after="0" w:line="360" w:lineRule="auto"/>
        <w:rPr>
          <w:rFonts w:ascii="Arial" w:hAnsi="Arial" w:cs="Arial"/>
          <w:color w:val="222222"/>
          <w:shd w:val="clear" w:color="auto" w:fill="FFFFFF"/>
        </w:rPr>
      </w:pPr>
      <w:proofErr w:type="spellStart"/>
      <w:r w:rsidRPr="008155BC">
        <w:rPr>
          <w:rFonts w:ascii="Arial" w:hAnsi="Arial" w:cs="Arial"/>
          <w:color w:val="222222"/>
          <w:shd w:val="clear" w:color="auto" w:fill="FFFFFF"/>
        </w:rPr>
        <w:t>Rohland</w:t>
      </w:r>
      <w:proofErr w:type="spellEnd"/>
      <w:r w:rsidRPr="008155BC">
        <w:rPr>
          <w:rFonts w:ascii="Arial" w:hAnsi="Arial" w:cs="Arial"/>
          <w:color w:val="222222"/>
          <w:shd w:val="clear" w:color="auto" w:fill="FFFFFF"/>
        </w:rPr>
        <w:t xml:space="preserve">, N., </w:t>
      </w:r>
      <w:proofErr w:type="spellStart"/>
      <w:r w:rsidRPr="008155BC">
        <w:rPr>
          <w:rFonts w:ascii="Arial" w:hAnsi="Arial" w:cs="Arial"/>
          <w:color w:val="222222"/>
          <w:shd w:val="clear" w:color="auto" w:fill="FFFFFF"/>
        </w:rPr>
        <w:t>Siedel</w:t>
      </w:r>
      <w:proofErr w:type="spellEnd"/>
      <w:r w:rsidRPr="008155BC">
        <w:rPr>
          <w:rFonts w:ascii="Arial" w:hAnsi="Arial" w:cs="Arial"/>
          <w:color w:val="222222"/>
          <w:shd w:val="clear" w:color="auto" w:fill="FFFFFF"/>
        </w:rPr>
        <w:t xml:space="preserve">, H., &amp; </w:t>
      </w:r>
      <w:proofErr w:type="spellStart"/>
      <w:r w:rsidRPr="008155BC">
        <w:rPr>
          <w:rFonts w:ascii="Arial" w:hAnsi="Arial" w:cs="Arial"/>
          <w:color w:val="222222"/>
          <w:shd w:val="clear" w:color="auto" w:fill="FFFFFF"/>
        </w:rPr>
        <w:t>Hofreiter</w:t>
      </w:r>
      <w:proofErr w:type="spellEnd"/>
      <w:r w:rsidRPr="008155BC">
        <w:rPr>
          <w:rFonts w:ascii="Arial" w:hAnsi="Arial" w:cs="Arial"/>
          <w:color w:val="222222"/>
          <w:shd w:val="clear" w:color="auto" w:fill="FFFFFF"/>
        </w:rPr>
        <w:t>, M. (2010). A rapid column</w:t>
      </w:r>
      <w:r w:rsidRPr="008155BC">
        <w:rPr>
          <w:rFonts w:ascii="Cambria Math" w:hAnsi="Cambria Math" w:cs="Cambria Math"/>
          <w:color w:val="222222"/>
          <w:shd w:val="clear" w:color="auto" w:fill="FFFFFF"/>
        </w:rPr>
        <w:t>‐</w:t>
      </w:r>
      <w:r w:rsidRPr="008155BC">
        <w:rPr>
          <w:rFonts w:ascii="Arial" w:hAnsi="Arial" w:cs="Arial"/>
          <w:color w:val="222222"/>
          <w:shd w:val="clear" w:color="auto" w:fill="FFFFFF"/>
        </w:rPr>
        <w:t>based ancient DNA extraction method for increased sample throughput. </w:t>
      </w:r>
      <w:r w:rsidRPr="008155BC">
        <w:rPr>
          <w:rFonts w:ascii="Arial" w:hAnsi="Arial" w:cs="Arial"/>
          <w:i/>
          <w:iCs/>
          <w:color w:val="222222"/>
          <w:shd w:val="clear" w:color="auto" w:fill="FFFFFF"/>
        </w:rPr>
        <w:t>Molecular ecology resources</w:t>
      </w:r>
      <w:r w:rsidRPr="008155BC">
        <w:rPr>
          <w:rFonts w:ascii="Arial" w:hAnsi="Arial" w:cs="Arial"/>
          <w:color w:val="222222"/>
          <w:shd w:val="clear" w:color="auto" w:fill="FFFFFF"/>
        </w:rPr>
        <w:t>, </w:t>
      </w:r>
      <w:r w:rsidRPr="008155BC">
        <w:rPr>
          <w:rFonts w:ascii="Arial" w:hAnsi="Arial" w:cs="Arial"/>
          <w:i/>
          <w:iCs/>
          <w:color w:val="222222"/>
          <w:shd w:val="clear" w:color="auto" w:fill="FFFFFF"/>
        </w:rPr>
        <w:t>10</w:t>
      </w:r>
      <w:r w:rsidRPr="008155BC">
        <w:rPr>
          <w:rFonts w:ascii="Arial" w:hAnsi="Arial" w:cs="Arial"/>
          <w:color w:val="222222"/>
          <w:shd w:val="clear" w:color="auto" w:fill="FFFFFF"/>
        </w:rPr>
        <w:t>(4), 677-683.</w:t>
      </w:r>
    </w:p>
    <w:p w:rsidR="001F0DF0" w:rsidRPr="008155BC" w:rsidRDefault="001F0DF0" w:rsidP="001F0DF0">
      <w:pPr>
        <w:spacing w:after="0" w:line="360" w:lineRule="auto"/>
        <w:rPr>
          <w:rFonts w:ascii="Arial" w:hAnsi="Arial" w:cs="Arial"/>
          <w:color w:val="222222"/>
          <w:shd w:val="clear" w:color="auto" w:fill="FFFFFF"/>
        </w:rPr>
      </w:pPr>
    </w:p>
    <w:p w:rsidR="001F0DF0" w:rsidRPr="008155BC" w:rsidRDefault="001F0DF0" w:rsidP="001F0DF0">
      <w:pPr>
        <w:pStyle w:val="p1"/>
        <w:spacing w:line="360" w:lineRule="auto"/>
        <w:jc w:val="both"/>
        <w:rPr>
          <w:rFonts w:ascii="Arial" w:hAnsi="Arial" w:cs="Arial"/>
          <w:b/>
          <w:sz w:val="22"/>
          <w:szCs w:val="22"/>
        </w:rPr>
      </w:pPr>
      <w:r w:rsidRPr="008155BC">
        <w:rPr>
          <w:rFonts w:ascii="Arial" w:hAnsi="Arial" w:cs="Arial"/>
          <w:sz w:val="22"/>
          <w:szCs w:val="22"/>
        </w:rPr>
        <w:t xml:space="preserve">Moodley, Y., Russo, I.M., Dalton, D.L., </w:t>
      </w:r>
      <w:proofErr w:type="spellStart"/>
      <w:r w:rsidRPr="008155BC">
        <w:rPr>
          <w:rFonts w:ascii="Arial" w:hAnsi="Arial" w:cs="Arial"/>
          <w:sz w:val="22"/>
          <w:szCs w:val="22"/>
        </w:rPr>
        <w:t>Kotzé</w:t>
      </w:r>
      <w:proofErr w:type="spellEnd"/>
      <w:r w:rsidRPr="008155BC">
        <w:rPr>
          <w:rFonts w:ascii="Arial" w:hAnsi="Arial" w:cs="Arial"/>
          <w:sz w:val="22"/>
          <w:szCs w:val="22"/>
        </w:rPr>
        <w:t xml:space="preserve">, A., </w:t>
      </w:r>
      <w:proofErr w:type="spellStart"/>
      <w:r w:rsidRPr="008155BC">
        <w:rPr>
          <w:rFonts w:ascii="Arial" w:hAnsi="Arial" w:cs="Arial"/>
          <w:sz w:val="22"/>
          <w:szCs w:val="22"/>
        </w:rPr>
        <w:t>Muya</w:t>
      </w:r>
      <w:proofErr w:type="spellEnd"/>
      <w:r w:rsidRPr="008155BC">
        <w:rPr>
          <w:rFonts w:ascii="Arial" w:hAnsi="Arial" w:cs="Arial"/>
          <w:sz w:val="22"/>
          <w:szCs w:val="22"/>
        </w:rPr>
        <w:t xml:space="preserve">, S., </w:t>
      </w:r>
      <w:proofErr w:type="spellStart"/>
      <w:r w:rsidRPr="008155BC">
        <w:rPr>
          <w:rFonts w:ascii="Arial" w:hAnsi="Arial" w:cs="Arial"/>
          <w:sz w:val="22"/>
          <w:szCs w:val="22"/>
        </w:rPr>
        <w:t>Haubensak</w:t>
      </w:r>
      <w:proofErr w:type="spellEnd"/>
      <w:r w:rsidRPr="008155BC">
        <w:rPr>
          <w:rFonts w:ascii="Arial" w:hAnsi="Arial" w:cs="Arial"/>
          <w:sz w:val="22"/>
          <w:szCs w:val="22"/>
        </w:rPr>
        <w:t xml:space="preserve">, P., </w:t>
      </w:r>
      <w:proofErr w:type="spellStart"/>
      <w:r w:rsidRPr="008155BC">
        <w:rPr>
          <w:rFonts w:ascii="Arial" w:hAnsi="Arial" w:cs="Arial"/>
          <w:sz w:val="22"/>
          <w:szCs w:val="22"/>
        </w:rPr>
        <w:t>Bálint</w:t>
      </w:r>
      <w:proofErr w:type="spellEnd"/>
      <w:r w:rsidRPr="008155BC">
        <w:rPr>
          <w:rFonts w:ascii="Arial" w:hAnsi="Arial" w:cs="Arial"/>
          <w:sz w:val="22"/>
          <w:szCs w:val="22"/>
        </w:rPr>
        <w:t xml:space="preserve">, B., </w:t>
      </w:r>
      <w:proofErr w:type="spellStart"/>
      <w:r w:rsidRPr="008155BC">
        <w:rPr>
          <w:rFonts w:ascii="Arial" w:hAnsi="Arial" w:cs="Arial"/>
          <w:sz w:val="22"/>
          <w:szCs w:val="22"/>
        </w:rPr>
        <w:t>Munimanda</w:t>
      </w:r>
      <w:proofErr w:type="spellEnd"/>
      <w:r w:rsidRPr="008155BC">
        <w:rPr>
          <w:rFonts w:ascii="Arial" w:hAnsi="Arial" w:cs="Arial"/>
          <w:sz w:val="22"/>
          <w:szCs w:val="22"/>
        </w:rPr>
        <w:t xml:space="preserve">, G.K., </w:t>
      </w:r>
      <w:proofErr w:type="spellStart"/>
      <w:r w:rsidRPr="008155BC">
        <w:rPr>
          <w:rFonts w:ascii="Arial" w:hAnsi="Arial" w:cs="Arial"/>
          <w:color w:val="000000" w:themeColor="text1"/>
          <w:sz w:val="22"/>
          <w:szCs w:val="22"/>
        </w:rPr>
        <w:t>Deimel</w:t>
      </w:r>
      <w:proofErr w:type="spellEnd"/>
      <w:r w:rsidRPr="008155BC">
        <w:rPr>
          <w:rFonts w:ascii="Arial" w:hAnsi="Arial" w:cs="Arial"/>
          <w:color w:val="000000" w:themeColor="text1"/>
          <w:sz w:val="22"/>
          <w:szCs w:val="22"/>
        </w:rPr>
        <w:t xml:space="preserve">, C., </w:t>
      </w:r>
      <w:proofErr w:type="spellStart"/>
      <w:r w:rsidRPr="008155BC">
        <w:rPr>
          <w:rFonts w:ascii="Arial" w:hAnsi="Arial" w:cs="Arial"/>
          <w:color w:val="000000" w:themeColor="text1"/>
          <w:sz w:val="22"/>
          <w:szCs w:val="22"/>
        </w:rPr>
        <w:t>Stezer</w:t>
      </w:r>
      <w:proofErr w:type="spellEnd"/>
      <w:r w:rsidRPr="008155BC">
        <w:rPr>
          <w:rFonts w:ascii="Arial" w:hAnsi="Arial" w:cs="Arial"/>
          <w:color w:val="000000" w:themeColor="text1"/>
          <w:sz w:val="22"/>
          <w:szCs w:val="22"/>
        </w:rPr>
        <w:t xml:space="preserve">, A., Dicks, K., </w:t>
      </w:r>
      <w:proofErr w:type="spellStart"/>
      <w:r w:rsidRPr="008155BC">
        <w:rPr>
          <w:rFonts w:ascii="Arial" w:hAnsi="Arial" w:cs="Arial"/>
          <w:color w:val="000000" w:themeColor="text1"/>
          <w:sz w:val="22"/>
          <w:szCs w:val="22"/>
        </w:rPr>
        <w:t>Herzig-Straschil</w:t>
      </w:r>
      <w:proofErr w:type="spellEnd"/>
      <w:r w:rsidRPr="008155BC">
        <w:rPr>
          <w:rFonts w:ascii="Arial" w:hAnsi="Arial" w:cs="Arial"/>
          <w:color w:val="000000" w:themeColor="text1"/>
          <w:sz w:val="22"/>
          <w:szCs w:val="22"/>
        </w:rPr>
        <w:t xml:space="preserve">, B., </w:t>
      </w:r>
      <w:proofErr w:type="spellStart"/>
      <w:r w:rsidRPr="008155BC">
        <w:rPr>
          <w:rFonts w:ascii="Arial" w:hAnsi="Arial" w:cs="Arial"/>
          <w:color w:val="000000" w:themeColor="text1"/>
          <w:sz w:val="22"/>
          <w:szCs w:val="22"/>
        </w:rPr>
        <w:t>Kalthoff</w:t>
      </w:r>
      <w:proofErr w:type="spellEnd"/>
      <w:r w:rsidRPr="008155BC">
        <w:rPr>
          <w:rFonts w:ascii="Arial" w:hAnsi="Arial" w:cs="Arial"/>
          <w:color w:val="000000" w:themeColor="text1"/>
          <w:sz w:val="22"/>
          <w:szCs w:val="22"/>
        </w:rPr>
        <w:t xml:space="preserve">, D.C., </w:t>
      </w:r>
      <w:proofErr w:type="spellStart"/>
      <w:r w:rsidRPr="008155BC">
        <w:rPr>
          <w:rFonts w:ascii="Arial" w:hAnsi="Arial" w:cs="Arial"/>
          <w:color w:val="000000" w:themeColor="text1"/>
          <w:sz w:val="22"/>
          <w:szCs w:val="22"/>
        </w:rPr>
        <w:t>Siegismund</w:t>
      </w:r>
      <w:proofErr w:type="spellEnd"/>
      <w:r w:rsidRPr="008155BC">
        <w:rPr>
          <w:rFonts w:ascii="Arial" w:hAnsi="Arial" w:cs="Arial"/>
          <w:color w:val="000000" w:themeColor="text1"/>
          <w:sz w:val="22"/>
          <w:szCs w:val="22"/>
        </w:rPr>
        <w:t xml:space="preserve">, H.R., </w:t>
      </w:r>
      <w:proofErr w:type="spellStart"/>
      <w:r w:rsidRPr="008155BC">
        <w:rPr>
          <w:rFonts w:ascii="Arial" w:hAnsi="Arial" w:cs="Arial"/>
          <w:color w:val="000000" w:themeColor="text1"/>
          <w:sz w:val="22"/>
          <w:szCs w:val="22"/>
        </w:rPr>
        <w:t>Robovský</w:t>
      </w:r>
      <w:proofErr w:type="spellEnd"/>
      <w:r w:rsidRPr="008155BC">
        <w:rPr>
          <w:rFonts w:ascii="Arial" w:hAnsi="Arial" w:cs="Arial"/>
          <w:color w:val="000000" w:themeColor="text1"/>
          <w:sz w:val="22"/>
          <w:szCs w:val="22"/>
        </w:rPr>
        <w:t xml:space="preserve">, J., </w:t>
      </w:r>
      <w:proofErr w:type="spellStart"/>
      <w:r w:rsidRPr="008155BC">
        <w:rPr>
          <w:rFonts w:ascii="Arial" w:hAnsi="Arial" w:cs="Arial"/>
          <w:color w:val="000000" w:themeColor="text1"/>
          <w:sz w:val="22"/>
          <w:szCs w:val="22"/>
        </w:rPr>
        <w:t>O’Donoghue</w:t>
      </w:r>
      <w:proofErr w:type="spellEnd"/>
      <w:r w:rsidRPr="008155BC">
        <w:rPr>
          <w:rFonts w:ascii="Arial" w:hAnsi="Arial" w:cs="Arial"/>
          <w:color w:val="000000" w:themeColor="text1"/>
          <w:sz w:val="22"/>
          <w:szCs w:val="22"/>
        </w:rPr>
        <w:t xml:space="preserve">, P. and </w:t>
      </w:r>
      <w:proofErr w:type="spellStart"/>
      <w:r w:rsidRPr="008155BC">
        <w:rPr>
          <w:rFonts w:ascii="Arial" w:hAnsi="Arial" w:cs="Arial"/>
          <w:color w:val="000000" w:themeColor="text1"/>
          <w:sz w:val="22"/>
          <w:szCs w:val="22"/>
        </w:rPr>
        <w:t>Bruford</w:t>
      </w:r>
      <w:proofErr w:type="spellEnd"/>
      <w:r w:rsidRPr="008155BC">
        <w:rPr>
          <w:rFonts w:ascii="Arial" w:hAnsi="Arial" w:cs="Arial"/>
          <w:color w:val="000000" w:themeColor="text1"/>
          <w:sz w:val="22"/>
          <w:szCs w:val="22"/>
        </w:rPr>
        <w:t>, M.W.,</w:t>
      </w:r>
      <w:r w:rsidRPr="008155BC">
        <w:rPr>
          <w:rFonts w:ascii="Arial" w:hAnsi="Arial" w:cs="Arial"/>
          <w:sz w:val="22"/>
          <w:szCs w:val="22"/>
        </w:rPr>
        <w:t xml:space="preserve"> 2017. Extinctions, genetic erosion and conservation options for the black rhinoceros (</w:t>
      </w:r>
      <w:proofErr w:type="spellStart"/>
      <w:r w:rsidRPr="008155BC">
        <w:rPr>
          <w:rFonts w:ascii="Arial" w:hAnsi="Arial" w:cs="Arial"/>
          <w:i/>
          <w:sz w:val="22"/>
          <w:szCs w:val="22"/>
        </w:rPr>
        <w:t>Diceros</w:t>
      </w:r>
      <w:proofErr w:type="spellEnd"/>
      <w:r w:rsidRPr="008155BC">
        <w:rPr>
          <w:rFonts w:ascii="Arial" w:hAnsi="Arial" w:cs="Arial"/>
          <w:i/>
          <w:sz w:val="22"/>
          <w:szCs w:val="22"/>
        </w:rPr>
        <w:t xml:space="preserve"> </w:t>
      </w:r>
      <w:proofErr w:type="spellStart"/>
      <w:r w:rsidRPr="008155BC">
        <w:rPr>
          <w:rFonts w:ascii="Arial" w:hAnsi="Arial" w:cs="Arial"/>
          <w:i/>
          <w:sz w:val="22"/>
          <w:szCs w:val="22"/>
        </w:rPr>
        <w:t>bicornis</w:t>
      </w:r>
      <w:proofErr w:type="spellEnd"/>
      <w:r w:rsidRPr="008155BC">
        <w:rPr>
          <w:rFonts w:ascii="Arial" w:hAnsi="Arial" w:cs="Arial"/>
          <w:sz w:val="22"/>
          <w:szCs w:val="22"/>
        </w:rPr>
        <w:t xml:space="preserve">). </w:t>
      </w:r>
      <w:r w:rsidRPr="008155BC">
        <w:rPr>
          <w:rFonts w:ascii="Arial" w:hAnsi="Arial" w:cs="Arial"/>
          <w:i/>
          <w:sz w:val="22"/>
          <w:szCs w:val="22"/>
        </w:rPr>
        <w:t>Sci. Rep.</w:t>
      </w:r>
      <w:r w:rsidRPr="008155BC">
        <w:rPr>
          <w:rFonts w:ascii="Arial" w:hAnsi="Arial" w:cs="Arial"/>
          <w:sz w:val="22"/>
          <w:szCs w:val="22"/>
        </w:rPr>
        <w:t xml:space="preserve"> 7, p.41417.</w:t>
      </w:r>
    </w:p>
    <w:p w:rsidR="001F0DF0" w:rsidRDefault="001F0DF0" w:rsidP="001F0DF0">
      <w:pPr>
        <w:spacing w:after="0" w:line="360" w:lineRule="auto"/>
        <w:rPr>
          <w:rFonts w:ascii="Arial" w:hAnsi="Arial" w:cs="Arial"/>
        </w:rPr>
      </w:pPr>
    </w:p>
    <w:p w:rsidR="001F0DF0" w:rsidRPr="00026937" w:rsidRDefault="001F0DF0" w:rsidP="001F0DF0">
      <w:pPr>
        <w:spacing w:after="0" w:line="360" w:lineRule="auto"/>
        <w:jc w:val="both"/>
        <w:rPr>
          <w:rFonts w:ascii="Arial" w:eastAsia="Times New Roman" w:hAnsi="Arial" w:cs="Arial"/>
          <w:lang w:eastAsia="en-GB"/>
        </w:rPr>
      </w:pPr>
      <w:r w:rsidRPr="00026937">
        <w:rPr>
          <w:rFonts w:ascii="Arial" w:eastAsia="Times New Roman" w:hAnsi="Arial" w:cs="Arial"/>
          <w:lang w:eastAsia="en-GB"/>
        </w:rPr>
        <w:t xml:space="preserve">Beaumont, M., 1999. Detecting population expansion and decline using microsatellites. </w:t>
      </w:r>
      <w:r w:rsidRPr="00026937">
        <w:rPr>
          <w:rFonts w:ascii="Arial" w:eastAsia="Times New Roman" w:hAnsi="Arial" w:cs="Arial"/>
          <w:i/>
          <w:lang w:eastAsia="en-GB"/>
        </w:rPr>
        <w:t>Genetics</w:t>
      </w:r>
      <w:r w:rsidRPr="00026937">
        <w:rPr>
          <w:rFonts w:ascii="Arial" w:eastAsia="Times New Roman" w:hAnsi="Arial" w:cs="Arial"/>
          <w:lang w:eastAsia="en-GB"/>
        </w:rPr>
        <w:t xml:space="preserve"> 153</w:t>
      </w:r>
      <w:r>
        <w:rPr>
          <w:rFonts w:ascii="Arial" w:eastAsia="Times New Roman" w:hAnsi="Arial" w:cs="Arial"/>
          <w:lang w:eastAsia="en-GB"/>
        </w:rPr>
        <w:t xml:space="preserve"> (4)</w:t>
      </w:r>
      <w:r w:rsidRPr="00026937">
        <w:rPr>
          <w:rFonts w:ascii="Arial" w:eastAsia="Times New Roman" w:hAnsi="Arial" w:cs="Arial"/>
          <w:lang w:eastAsia="en-GB"/>
        </w:rPr>
        <w:t>,</w:t>
      </w:r>
      <w:r>
        <w:rPr>
          <w:rFonts w:ascii="Arial" w:eastAsia="Times New Roman" w:hAnsi="Arial" w:cs="Arial"/>
          <w:lang w:eastAsia="en-GB"/>
        </w:rPr>
        <w:t xml:space="preserve"> </w:t>
      </w:r>
      <w:r w:rsidRPr="00026937">
        <w:rPr>
          <w:rFonts w:ascii="Arial" w:eastAsia="Times New Roman" w:hAnsi="Arial" w:cs="Arial"/>
          <w:lang w:eastAsia="en-GB"/>
        </w:rPr>
        <w:t>2013–2029.</w:t>
      </w:r>
    </w:p>
    <w:p w:rsidR="001F0DF0" w:rsidRDefault="001F0DF0" w:rsidP="001F0DF0">
      <w:pPr>
        <w:spacing w:after="0" w:line="360" w:lineRule="auto"/>
        <w:rPr>
          <w:rFonts w:ascii="Arial" w:hAnsi="Arial" w:cs="Arial"/>
        </w:rPr>
      </w:pPr>
    </w:p>
    <w:p w:rsidR="001F0DF0" w:rsidRPr="00026937" w:rsidRDefault="001F0DF0" w:rsidP="001F0DF0">
      <w:pPr>
        <w:spacing w:after="0" w:line="360" w:lineRule="auto"/>
        <w:jc w:val="both"/>
        <w:rPr>
          <w:rFonts w:ascii="Arial" w:eastAsia="Times New Roman" w:hAnsi="Arial" w:cs="Arial"/>
          <w:lang w:eastAsia="en-GB"/>
        </w:rPr>
      </w:pPr>
      <w:r w:rsidRPr="00026937">
        <w:rPr>
          <w:rFonts w:ascii="Arial" w:eastAsia="Times New Roman" w:hAnsi="Arial" w:cs="Arial"/>
          <w:lang w:eastAsia="en-GB"/>
        </w:rPr>
        <w:t xml:space="preserve">Storz, J. and Beaumont, M., 2002. Testing for genetic evidence of population expansion and contraction: an empirical analysis of microsatellite DNA variation using a hierarchical Bayesian model. </w:t>
      </w:r>
      <w:proofErr w:type="spellStart"/>
      <w:r w:rsidRPr="00026937">
        <w:rPr>
          <w:rFonts w:ascii="Arial" w:eastAsia="Times New Roman" w:hAnsi="Arial" w:cs="Arial"/>
          <w:i/>
          <w:lang w:eastAsia="en-GB"/>
        </w:rPr>
        <w:t>Evol</w:t>
      </w:r>
      <w:proofErr w:type="spellEnd"/>
      <w:r w:rsidRPr="00026937">
        <w:rPr>
          <w:rFonts w:ascii="Arial" w:eastAsia="Times New Roman" w:hAnsi="Arial" w:cs="Arial"/>
          <w:i/>
          <w:lang w:eastAsia="en-GB"/>
        </w:rPr>
        <w:t>.</w:t>
      </w:r>
      <w:r w:rsidRPr="00026937">
        <w:rPr>
          <w:rFonts w:ascii="Arial" w:eastAsia="Times New Roman" w:hAnsi="Arial" w:cs="Arial"/>
          <w:lang w:eastAsia="en-GB"/>
        </w:rPr>
        <w:t xml:space="preserve"> 56, 154-166.</w:t>
      </w:r>
    </w:p>
    <w:p w:rsidR="001F0DF0" w:rsidRDefault="001F0DF0" w:rsidP="001F0DF0">
      <w:pPr>
        <w:spacing w:after="0" w:line="360" w:lineRule="auto"/>
        <w:jc w:val="both"/>
        <w:rPr>
          <w:rFonts w:ascii="Arial" w:eastAsia="Times New Roman" w:hAnsi="Arial" w:cs="Arial"/>
          <w:lang w:eastAsia="en-GB"/>
        </w:rPr>
      </w:pPr>
      <w:r>
        <w:rPr>
          <w:rFonts w:ascii="Arial" w:eastAsia="Times New Roman" w:hAnsi="Arial" w:cs="Arial"/>
          <w:lang w:eastAsia="en-GB"/>
        </w:rPr>
        <w:t>P</w:t>
      </w:r>
      <w:r w:rsidRPr="00026937">
        <w:rPr>
          <w:rFonts w:ascii="Arial" w:eastAsia="Times New Roman" w:hAnsi="Arial" w:cs="Arial"/>
          <w:lang w:eastAsia="en-GB"/>
        </w:rPr>
        <w:t xml:space="preserve">eery, M.Z., Kirby, R., Reid, B.N., </w:t>
      </w:r>
      <w:proofErr w:type="spellStart"/>
      <w:r w:rsidRPr="00026937">
        <w:rPr>
          <w:rFonts w:ascii="Arial" w:eastAsia="Times New Roman" w:hAnsi="Arial" w:cs="Arial"/>
          <w:lang w:eastAsia="en-GB"/>
        </w:rPr>
        <w:t>Stoelting</w:t>
      </w:r>
      <w:proofErr w:type="spellEnd"/>
      <w:r w:rsidRPr="00026937">
        <w:rPr>
          <w:rFonts w:ascii="Arial" w:eastAsia="Times New Roman" w:hAnsi="Arial" w:cs="Arial"/>
          <w:lang w:eastAsia="en-GB"/>
        </w:rPr>
        <w:t xml:space="preserve">, R., </w:t>
      </w:r>
      <w:proofErr w:type="spellStart"/>
      <w:r w:rsidRPr="00026937">
        <w:rPr>
          <w:rFonts w:ascii="Arial" w:eastAsia="Times New Roman" w:hAnsi="Arial" w:cs="Arial"/>
          <w:lang w:eastAsia="en-GB"/>
        </w:rPr>
        <w:t>Doucet-Bër</w:t>
      </w:r>
      <w:proofErr w:type="spellEnd"/>
      <w:r w:rsidRPr="00026937">
        <w:rPr>
          <w:rFonts w:ascii="Arial" w:eastAsia="Times New Roman" w:hAnsi="Arial" w:cs="Arial"/>
          <w:lang w:eastAsia="en-GB"/>
        </w:rPr>
        <w:t xml:space="preserve">, E., Robinson, S., </w:t>
      </w:r>
      <w:proofErr w:type="spellStart"/>
      <w:proofErr w:type="gramStart"/>
      <w:r w:rsidRPr="00026937">
        <w:rPr>
          <w:rFonts w:ascii="Arial" w:eastAsia="Times New Roman" w:hAnsi="Arial" w:cs="Arial"/>
          <w:lang w:eastAsia="en-GB"/>
        </w:rPr>
        <w:t>Va</w:t>
      </w:r>
      <w:proofErr w:type="spellEnd"/>
      <w:proofErr w:type="gramEnd"/>
      <w:r w:rsidRPr="00026937">
        <w:rPr>
          <w:rFonts w:ascii="Arial" w:eastAsia="Times New Roman" w:hAnsi="Arial" w:cs="Arial"/>
          <w:lang w:eastAsia="en-GB"/>
        </w:rPr>
        <w:t xml:space="preserve"> </w:t>
      </w:r>
      <w:proofErr w:type="spellStart"/>
      <w:r w:rsidRPr="00026937">
        <w:rPr>
          <w:rFonts w:ascii="Arial" w:eastAsia="Times New Roman" w:hAnsi="Arial" w:cs="Arial"/>
          <w:lang w:eastAsia="en-GB"/>
        </w:rPr>
        <w:t>squez</w:t>
      </w:r>
      <w:proofErr w:type="spellEnd"/>
      <w:r w:rsidRPr="00026937">
        <w:rPr>
          <w:rFonts w:ascii="Arial" w:eastAsia="Times New Roman" w:hAnsi="Arial" w:cs="Arial"/>
          <w:lang w:eastAsia="en-GB"/>
        </w:rPr>
        <w:t xml:space="preserve">-Carrillo, C., Pauli, J.N. and </w:t>
      </w:r>
      <w:proofErr w:type="spellStart"/>
      <w:r w:rsidRPr="00026937">
        <w:rPr>
          <w:rFonts w:ascii="Arial" w:eastAsia="Times New Roman" w:hAnsi="Arial" w:cs="Arial"/>
          <w:lang w:eastAsia="en-GB"/>
        </w:rPr>
        <w:t>Palsbøll</w:t>
      </w:r>
      <w:proofErr w:type="spellEnd"/>
      <w:r w:rsidRPr="00026937">
        <w:rPr>
          <w:rFonts w:ascii="Arial" w:eastAsia="Times New Roman" w:hAnsi="Arial" w:cs="Arial"/>
          <w:lang w:eastAsia="en-GB"/>
        </w:rPr>
        <w:t xml:space="preserve">, P.J., 2012. Reliability of genetic bottleneck tests for detecting recent population declines. </w:t>
      </w:r>
      <w:r w:rsidRPr="00026937">
        <w:rPr>
          <w:rFonts w:ascii="Arial" w:eastAsia="Times New Roman" w:hAnsi="Arial" w:cs="Arial"/>
          <w:i/>
          <w:lang w:eastAsia="en-GB"/>
        </w:rPr>
        <w:t>Mol. Ecol.</w:t>
      </w:r>
      <w:r w:rsidRPr="00026937">
        <w:rPr>
          <w:rFonts w:ascii="Arial" w:eastAsia="Times New Roman" w:hAnsi="Arial" w:cs="Arial"/>
          <w:lang w:eastAsia="en-GB"/>
        </w:rPr>
        <w:t xml:space="preserve"> 21</w:t>
      </w:r>
      <w:r>
        <w:rPr>
          <w:rFonts w:ascii="Arial" w:eastAsia="Times New Roman" w:hAnsi="Arial" w:cs="Arial"/>
          <w:lang w:eastAsia="en-GB"/>
        </w:rPr>
        <w:t>(14)</w:t>
      </w:r>
      <w:r w:rsidRPr="00026937">
        <w:rPr>
          <w:rFonts w:ascii="Arial" w:eastAsia="Times New Roman" w:hAnsi="Arial" w:cs="Arial"/>
          <w:lang w:eastAsia="en-GB"/>
        </w:rPr>
        <w:t>,</w:t>
      </w:r>
      <w:r>
        <w:rPr>
          <w:rFonts w:ascii="Arial" w:eastAsia="Times New Roman" w:hAnsi="Arial" w:cs="Arial"/>
          <w:lang w:eastAsia="en-GB"/>
        </w:rPr>
        <w:t xml:space="preserve"> </w:t>
      </w:r>
      <w:r w:rsidRPr="00026937">
        <w:rPr>
          <w:rFonts w:ascii="Arial" w:eastAsia="Times New Roman" w:hAnsi="Arial" w:cs="Arial"/>
          <w:lang w:eastAsia="en-GB"/>
        </w:rPr>
        <w:t>3403-3418.</w:t>
      </w:r>
    </w:p>
    <w:p w:rsidR="001F0DF0" w:rsidRPr="00026937" w:rsidRDefault="001F0DF0" w:rsidP="001F0DF0">
      <w:pPr>
        <w:spacing w:after="0" w:line="360" w:lineRule="auto"/>
        <w:jc w:val="both"/>
        <w:rPr>
          <w:rFonts w:ascii="Arial" w:eastAsia="Times New Roman" w:hAnsi="Arial" w:cs="Arial"/>
          <w:lang w:eastAsia="en-GB"/>
        </w:rPr>
      </w:pPr>
    </w:p>
    <w:p w:rsidR="001F0DF0" w:rsidRDefault="001F0DF0" w:rsidP="001F0DF0">
      <w:pPr>
        <w:pStyle w:val="FWFHeading2"/>
        <w:spacing w:after="0" w:line="360" w:lineRule="auto"/>
        <w:jc w:val="both"/>
        <w:rPr>
          <w:b w:val="0"/>
          <w:color w:val="auto"/>
        </w:rPr>
      </w:pPr>
      <w:proofErr w:type="spellStart"/>
      <w:r w:rsidRPr="00026937">
        <w:rPr>
          <w:b w:val="0"/>
          <w:color w:val="auto"/>
        </w:rPr>
        <w:t>Bertschinger</w:t>
      </w:r>
      <w:proofErr w:type="spellEnd"/>
      <w:r w:rsidRPr="00026937">
        <w:rPr>
          <w:b w:val="0"/>
          <w:color w:val="auto"/>
        </w:rPr>
        <w:t xml:space="preserve">, H.J., 1994. Reproduction in black and white rhinos: a review. Proceedings of a symposium on rhino as game ranch animals. </w:t>
      </w:r>
      <w:proofErr w:type="spellStart"/>
      <w:r w:rsidRPr="00026937">
        <w:rPr>
          <w:b w:val="0"/>
          <w:color w:val="auto"/>
        </w:rPr>
        <w:t>Onderstepoort</w:t>
      </w:r>
      <w:proofErr w:type="spellEnd"/>
      <w:r w:rsidRPr="00026937">
        <w:rPr>
          <w:b w:val="0"/>
          <w:color w:val="auto"/>
        </w:rPr>
        <w:t>, September.</w:t>
      </w:r>
    </w:p>
    <w:p w:rsidR="001F0DF0" w:rsidRPr="00026937" w:rsidRDefault="001F0DF0" w:rsidP="001F0DF0">
      <w:pPr>
        <w:pStyle w:val="FWFHeading2"/>
        <w:spacing w:after="0" w:line="360" w:lineRule="auto"/>
        <w:jc w:val="both"/>
        <w:rPr>
          <w:b w:val="0"/>
          <w:color w:val="auto"/>
        </w:rPr>
      </w:pPr>
    </w:p>
    <w:p w:rsidR="001F0DF0" w:rsidRPr="00026937" w:rsidRDefault="001F0DF0" w:rsidP="001F0DF0">
      <w:pPr>
        <w:autoSpaceDE w:val="0"/>
        <w:autoSpaceDN w:val="0"/>
        <w:adjustRightInd w:val="0"/>
        <w:spacing w:after="0" w:line="360" w:lineRule="auto"/>
        <w:jc w:val="both"/>
        <w:rPr>
          <w:rFonts w:ascii="Arial" w:hAnsi="Arial" w:cs="Arial"/>
        </w:rPr>
      </w:pPr>
      <w:r w:rsidRPr="001776EF">
        <w:rPr>
          <w:rFonts w:ascii="Arial" w:hAnsi="Arial" w:cs="Arial"/>
          <w:lang w:val="de-AT"/>
        </w:rPr>
        <w:t xml:space="preserve">Gelman, A. and Rubin, D.B., 1992. </w:t>
      </w:r>
      <w:r w:rsidRPr="00026937">
        <w:rPr>
          <w:rFonts w:ascii="Arial" w:hAnsi="Arial" w:cs="Arial"/>
        </w:rPr>
        <w:t xml:space="preserve">Inference from iterative simulation using multiple sequences. </w:t>
      </w:r>
      <w:r w:rsidRPr="00026937">
        <w:rPr>
          <w:rFonts w:ascii="Arial" w:hAnsi="Arial" w:cs="Arial"/>
          <w:i/>
        </w:rPr>
        <w:t>Stat. Sci.</w:t>
      </w:r>
      <w:r w:rsidRPr="00026937">
        <w:rPr>
          <w:rFonts w:ascii="Arial" w:hAnsi="Arial" w:cs="Arial"/>
        </w:rPr>
        <w:t xml:space="preserve"> 7</w:t>
      </w:r>
      <w:r>
        <w:rPr>
          <w:rFonts w:ascii="Arial" w:hAnsi="Arial" w:cs="Arial"/>
        </w:rPr>
        <w:t>(4)</w:t>
      </w:r>
      <w:r w:rsidRPr="00026937">
        <w:rPr>
          <w:rFonts w:ascii="Arial" w:hAnsi="Arial" w:cs="Arial"/>
        </w:rPr>
        <w:t>, 457–472.</w:t>
      </w:r>
    </w:p>
    <w:p w:rsidR="001F0DF0" w:rsidRDefault="001F0DF0" w:rsidP="001F0DF0">
      <w:pPr>
        <w:autoSpaceDE w:val="0"/>
        <w:autoSpaceDN w:val="0"/>
        <w:adjustRightInd w:val="0"/>
        <w:spacing w:after="0" w:line="360" w:lineRule="auto"/>
        <w:jc w:val="both"/>
        <w:rPr>
          <w:rFonts w:ascii="Arial" w:hAnsi="Arial" w:cs="Arial"/>
        </w:rPr>
      </w:pPr>
    </w:p>
    <w:p w:rsidR="001F0DF0" w:rsidRDefault="001F0DF0" w:rsidP="001F0DF0">
      <w:pPr>
        <w:autoSpaceDE w:val="0"/>
        <w:autoSpaceDN w:val="0"/>
        <w:adjustRightInd w:val="0"/>
        <w:spacing w:after="0" w:line="360" w:lineRule="auto"/>
        <w:jc w:val="both"/>
        <w:rPr>
          <w:rFonts w:ascii="Arial" w:hAnsi="Arial" w:cs="Arial"/>
        </w:rPr>
      </w:pPr>
      <w:r w:rsidRPr="00026937">
        <w:rPr>
          <w:rFonts w:ascii="Arial" w:hAnsi="Arial" w:cs="Arial"/>
        </w:rPr>
        <w:t xml:space="preserve">Brooks, S.P. and Gelman, A., 1998. General methods for monitoring convergence of iterative simulations. </w:t>
      </w:r>
      <w:r w:rsidRPr="00026937">
        <w:rPr>
          <w:rFonts w:ascii="Arial" w:hAnsi="Arial" w:cs="Arial"/>
          <w:i/>
        </w:rPr>
        <w:t xml:space="preserve">J. of </w:t>
      </w:r>
      <w:proofErr w:type="spellStart"/>
      <w:r w:rsidRPr="00026937">
        <w:rPr>
          <w:rFonts w:ascii="Arial" w:hAnsi="Arial" w:cs="Arial"/>
          <w:i/>
        </w:rPr>
        <w:t>Comput</w:t>
      </w:r>
      <w:proofErr w:type="spellEnd"/>
      <w:r w:rsidRPr="00026937">
        <w:rPr>
          <w:rFonts w:ascii="Arial" w:hAnsi="Arial" w:cs="Arial"/>
          <w:i/>
        </w:rPr>
        <w:t>. Graph. Stat.</w:t>
      </w:r>
      <w:r w:rsidRPr="00026937">
        <w:rPr>
          <w:rFonts w:ascii="Arial" w:hAnsi="Arial" w:cs="Arial"/>
        </w:rPr>
        <w:t xml:space="preserve"> 7</w:t>
      </w:r>
      <w:r>
        <w:rPr>
          <w:rFonts w:ascii="Arial" w:hAnsi="Arial" w:cs="Arial"/>
        </w:rPr>
        <w:t>(4)</w:t>
      </w:r>
      <w:r w:rsidRPr="00026937">
        <w:rPr>
          <w:rFonts w:ascii="Arial" w:hAnsi="Arial" w:cs="Arial"/>
        </w:rPr>
        <w:t>, 434-455.</w:t>
      </w:r>
    </w:p>
    <w:p w:rsidR="001F0DF0" w:rsidRDefault="001F0DF0" w:rsidP="001F0DF0">
      <w:pPr>
        <w:autoSpaceDE w:val="0"/>
        <w:autoSpaceDN w:val="0"/>
        <w:adjustRightInd w:val="0"/>
        <w:spacing w:after="0" w:line="360" w:lineRule="auto"/>
        <w:jc w:val="both"/>
        <w:rPr>
          <w:rFonts w:ascii="Arial" w:hAnsi="Arial" w:cs="Arial"/>
        </w:rPr>
      </w:pPr>
    </w:p>
    <w:p w:rsidR="001F0DF0" w:rsidRDefault="001F0DF0" w:rsidP="001F0DF0">
      <w:pPr>
        <w:spacing w:after="0" w:line="360" w:lineRule="auto"/>
        <w:jc w:val="both"/>
        <w:rPr>
          <w:rFonts w:ascii="Arial" w:eastAsia="Times New Roman" w:hAnsi="Arial" w:cs="Arial"/>
          <w:lang w:eastAsia="en-GB"/>
        </w:rPr>
      </w:pPr>
      <w:r w:rsidRPr="00026937">
        <w:rPr>
          <w:rFonts w:ascii="Arial" w:eastAsia="Times New Roman" w:hAnsi="Arial" w:cs="Arial"/>
          <w:lang w:eastAsia="en-GB"/>
        </w:rPr>
        <w:t>Gelman, A., Carlin, J. B., Stern, H. S. and Rubin D. B., 2004. Bayesian data analysis, 2</w:t>
      </w:r>
      <w:r w:rsidRPr="00026937">
        <w:rPr>
          <w:rFonts w:ascii="Arial" w:eastAsia="Times New Roman" w:hAnsi="Arial" w:cs="Arial"/>
          <w:vertAlign w:val="superscript"/>
          <w:lang w:eastAsia="en-GB"/>
        </w:rPr>
        <w:t>nd</w:t>
      </w:r>
      <w:r w:rsidRPr="00026937">
        <w:rPr>
          <w:rFonts w:ascii="Arial" w:eastAsia="Times New Roman" w:hAnsi="Arial" w:cs="Arial"/>
          <w:lang w:eastAsia="en-GB"/>
        </w:rPr>
        <w:t xml:space="preserve"> edition. London, Chapman &amp; Hall.</w:t>
      </w:r>
    </w:p>
    <w:p w:rsidR="001F0DF0" w:rsidRDefault="001F0DF0" w:rsidP="001F0DF0">
      <w:pPr>
        <w:spacing w:after="0" w:line="360" w:lineRule="auto"/>
        <w:jc w:val="both"/>
        <w:rPr>
          <w:rFonts w:ascii="Arial" w:eastAsia="Times New Roman" w:hAnsi="Arial" w:cs="Arial"/>
          <w:lang w:eastAsia="en-GB"/>
        </w:rPr>
      </w:pPr>
    </w:p>
    <w:p w:rsidR="001F0DF0" w:rsidRDefault="001F0DF0" w:rsidP="001F0DF0">
      <w:pPr>
        <w:autoSpaceDE w:val="0"/>
        <w:autoSpaceDN w:val="0"/>
        <w:adjustRightInd w:val="0"/>
        <w:spacing w:after="0" w:line="360" w:lineRule="auto"/>
        <w:jc w:val="both"/>
        <w:rPr>
          <w:rFonts w:ascii="Arial" w:hAnsi="Arial" w:cs="Arial"/>
        </w:rPr>
      </w:pPr>
      <w:r w:rsidRPr="00026937">
        <w:rPr>
          <w:rFonts w:ascii="Arial" w:hAnsi="Arial" w:cs="Arial"/>
        </w:rPr>
        <w:t xml:space="preserve">Smith, B.J., 2007. Boa: an R package for MCMC output convergence assessment and posterior inference. </w:t>
      </w:r>
      <w:r w:rsidRPr="00026937">
        <w:rPr>
          <w:rFonts w:ascii="Arial" w:hAnsi="Arial" w:cs="Arial"/>
          <w:i/>
        </w:rPr>
        <w:t xml:space="preserve">J. of Stat. </w:t>
      </w:r>
      <w:proofErr w:type="spellStart"/>
      <w:r w:rsidRPr="00026937">
        <w:rPr>
          <w:rFonts w:ascii="Arial" w:hAnsi="Arial" w:cs="Arial"/>
          <w:i/>
        </w:rPr>
        <w:t>Softw</w:t>
      </w:r>
      <w:proofErr w:type="spellEnd"/>
      <w:r w:rsidRPr="00026937">
        <w:rPr>
          <w:rFonts w:ascii="Arial" w:hAnsi="Arial" w:cs="Arial"/>
          <w:i/>
        </w:rPr>
        <w:t>.</w:t>
      </w:r>
      <w:r w:rsidRPr="00026937">
        <w:rPr>
          <w:rFonts w:ascii="Arial" w:hAnsi="Arial" w:cs="Arial"/>
        </w:rPr>
        <w:t xml:space="preserve"> 21</w:t>
      </w:r>
      <w:r>
        <w:rPr>
          <w:rFonts w:ascii="Arial" w:hAnsi="Arial" w:cs="Arial"/>
        </w:rPr>
        <w:t>(11)</w:t>
      </w:r>
      <w:r w:rsidRPr="00026937">
        <w:rPr>
          <w:rFonts w:ascii="Arial" w:hAnsi="Arial" w:cs="Arial"/>
        </w:rPr>
        <w:t>, 1–37.</w:t>
      </w:r>
    </w:p>
    <w:p w:rsidR="001F0DF0" w:rsidRDefault="001F0DF0" w:rsidP="001F0DF0">
      <w:pPr>
        <w:spacing w:after="160" w:line="259" w:lineRule="auto"/>
        <w:rPr>
          <w:rFonts w:ascii="Arial" w:hAnsi="Arial" w:cs="Arial"/>
          <w:lang w:eastAsia="en-GB"/>
        </w:rPr>
      </w:pPr>
    </w:p>
    <w:p w:rsidR="001F0DF0" w:rsidRDefault="001F0DF0" w:rsidP="001F0DF0">
      <w:pPr>
        <w:spacing w:after="160" w:line="259" w:lineRule="auto"/>
        <w:rPr>
          <w:rFonts w:ascii="Arial" w:hAnsi="Arial" w:cs="Arial"/>
        </w:rPr>
      </w:pPr>
      <w:proofErr w:type="spellStart"/>
      <w:r w:rsidRPr="00026937">
        <w:rPr>
          <w:rFonts w:ascii="Arial" w:hAnsi="Arial" w:cs="Arial"/>
          <w:lang w:eastAsia="en-GB"/>
        </w:rPr>
        <w:t>Wegmann</w:t>
      </w:r>
      <w:proofErr w:type="spellEnd"/>
      <w:r w:rsidRPr="00026937">
        <w:rPr>
          <w:rFonts w:ascii="Arial" w:hAnsi="Arial" w:cs="Arial"/>
          <w:lang w:eastAsia="en-GB"/>
        </w:rPr>
        <w:t xml:space="preserve">, D. and </w:t>
      </w:r>
      <w:proofErr w:type="spellStart"/>
      <w:r w:rsidRPr="00026937">
        <w:rPr>
          <w:rFonts w:ascii="Arial" w:hAnsi="Arial" w:cs="Arial"/>
          <w:lang w:eastAsia="en-GB"/>
        </w:rPr>
        <w:t>Excoffier</w:t>
      </w:r>
      <w:proofErr w:type="spellEnd"/>
      <w:r w:rsidRPr="00026937">
        <w:rPr>
          <w:rFonts w:ascii="Arial" w:hAnsi="Arial" w:cs="Arial"/>
          <w:lang w:eastAsia="en-GB"/>
        </w:rPr>
        <w:t xml:space="preserve">, L., 2010. Bayesian inference of the demographic history of chimpanzees. </w:t>
      </w:r>
      <w:r w:rsidRPr="00026937">
        <w:rPr>
          <w:rFonts w:ascii="Arial" w:hAnsi="Arial" w:cs="Arial"/>
          <w:i/>
          <w:lang w:eastAsia="en-GB"/>
        </w:rPr>
        <w:t xml:space="preserve">Mol. Biol. </w:t>
      </w:r>
      <w:proofErr w:type="spellStart"/>
      <w:r w:rsidRPr="00026937">
        <w:rPr>
          <w:rFonts w:ascii="Arial" w:hAnsi="Arial" w:cs="Arial"/>
          <w:i/>
          <w:lang w:eastAsia="en-GB"/>
        </w:rPr>
        <w:t>Evol</w:t>
      </w:r>
      <w:proofErr w:type="spellEnd"/>
      <w:r w:rsidRPr="00026937">
        <w:rPr>
          <w:rFonts w:ascii="Arial" w:hAnsi="Arial" w:cs="Arial"/>
          <w:i/>
          <w:lang w:eastAsia="en-GB"/>
        </w:rPr>
        <w:t>.</w:t>
      </w:r>
      <w:r w:rsidRPr="00026937">
        <w:rPr>
          <w:rFonts w:ascii="Arial" w:hAnsi="Arial" w:cs="Arial"/>
          <w:lang w:eastAsia="en-GB"/>
        </w:rPr>
        <w:t xml:space="preserve"> 27</w:t>
      </w:r>
      <w:r>
        <w:rPr>
          <w:rFonts w:ascii="Arial" w:hAnsi="Arial" w:cs="Arial"/>
          <w:lang w:eastAsia="en-GB"/>
        </w:rPr>
        <w:t>(6)</w:t>
      </w:r>
      <w:r w:rsidRPr="00026937">
        <w:rPr>
          <w:rFonts w:ascii="Arial" w:hAnsi="Arial" w:cs="Arial"/>
          <w:lang w:eastAsia="en-GB"/>
        </w:rPr>
        <w:t>, 1425–1435.</w:t>
      </w:r>
    </w:p>
    <w:p w:rsidR="001F0DF0" w:rsidRPr="00026937" w:rsidRDefault="001F0DF0" w:rsidP="001F0DF0">
      <w:pPr>
        <w:spacing w:after="160" w:line="259" w:lineRule="auto"/>
        <w:rPr>
          <w:rFonts w:ascii="Arial" w:hAnsi="Arial" w:cs="Arial"/>
        </w:rPr>
      </w:pPr>
    </w:p>
    <w:p w:rsidR="00570D01" w:rsidRPr="001F0DF0" w:rsidRDefault="001F0DF0" w:rsidP="001F0DF0">
      <w:pPr>
        <w:pStyle w:val="FWFHeading2"/>
        <w:spacing w:after="200" w:line="360" w:lineRule="auto"/>
        <w:jc w:val="both"/>
        <w:rPr>
          <w:b w:val="0"/>
          <w:color w:val="auto"/>
        </w:rPr>
      </w:pPr>
      <w:proofErr w:type="spellStart"/>
      <w:r w:rsidRPr="00026937">
        <w:rPr>
          <w:b w:val="0"/>
          <w:color w:val="auto"/>
        </w:rPr>
        <w:t>Grollemund</w:t>
      </w:r>
      <w:proofErr w:type="spellEnd"/>
      <w:r w:rsidRPr="00026937">
        <w:rPr>
          <w:b w:val="0"/>
          <w:color w:val="auto"/>
        </w:rPr>
        <w:t xml:space="preserve">, R., Branford, S., </w:t>
      </w:r>
      <w:proofErr w:type="spellStart"/>
      <w:r w:rsidRPr="00026937">
        <w:rPr>
          <w:b w:val="0"/>
          <w:color w:val="auto"/>
        </w:rPr>
        <w:t>Bostoen</w:t>
      </w:r>
      <w:proofErr w:type="spellEnd"/>
      <w:r w:rsidRPr="00026937">
        <w:rPr>
          <w:b w:val="0"/>
          <w:color w:val="auto"/>
        </w:rPr>
        <w:t xml:space="preserve">, K., Meade, A., </w:t>
      </w:r>
      <w:proofErr w:type="spellStart"/>
      <w:r w:rsidRPr="00026937">
        <w:rPr>
          <w:b w:val="0"/>
          <w:color w:val="auto"/>
        </w:rPr>
        <w:t>Venditti</w:t>
      </w:r>
      <w:proofErr w:type="spellEnd"/>
      <w:r w:rsidRPr="00026937">
        <w:rPr>
          <w:b w:val="0"/>
          <w:color w:val="auto"/>
        </w:rPr>
        <w:t xml:space="preserve">, C. and </w:t>
      </w:r>
      <w:proofErr w:type="spellStart"/>
      <w:r w:rsidRPr="00026937">
        <w:rPr>
          <w:b w:val="0"/>
          <w:color w:val="auto"/>
        </w:rPr>
        <w:t>Pagel</w:t>
      </w:r>
      <w:proofErr w:type="spellEnd"/>
      <w:r w:rsidRPr="00026937">
        <w:rPr>
          <w:b w:val="0"/>
          <w:color w:val="auto"/>
        </w:rPr>
        <w:t xml:space="preserve">, M., 2015. Bantu expansion shows that habitat alters the route and pace of human dispersals. </w:t>
      </w:r>
      <w:r w:rsidRPr="00026937">
        <w:rPr>
          <w:b w:val="0"/>
          <w:i/>
          <w:color w:val="auto"/>
        </w:rPr>
        <w:t>Proc. Natl. Acad. Sci.</w:t>
      </w:r>
      <w:r w:rsidRPr="00026937">
        <w:rPr>
          <w:b w:val="0"/>
          <w:color w:val="auto"/>
        </w:rPr>
        <w:t xml:space="preserve"> 112(43), 13296-13301.</w:t>
      </w:r>
    </w:p>
    <w:sectPr w:rsidR="00570D01" w:rsidRPr="001F0DF0" w:rsidSect="006326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E74EB3"/>
    <w:multiLevelType w:val="hybridMultilevel"/>
    <w:tmpl w:val="F2D81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DF0"/>
    <w:rsid w:val="00031F0F"/>
    <w:rsid w:val="001A1EA7"/>
    <w:rsid w:val="001F0DF0"/>
    <w:rsid w:val="00410931"/>
    <w:rsid w:val="00491C04"/>
    <w:rsid w:val="0059230F"/>
    <w:rsid w:val="00600F0C"/>
    <w:rsid w:val="00723D33"/>
    <w:rsid w:val="00846F16"/>
    <w:rsid w:val="00922B1D"/>
    <w:rsid w:val="009C26CC"/>
    <w:rsid w:val="00B46737"/>
    <w:rsid w:val="00B51B00"/>
    <w:rsid w:val="00BE3456"/>
    <w:rsid w:val="00D7220E"/>
    <w:rsid w:val="00DE1D22"/>
    <w:rsid w:val="00E02A7F"/>
    <w:rsid w:val="00E93D2E"/>
    <w:rsid w:val="00F64F18"/>
    <w:rsid w:val="00F72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50ACDD-0B94-3441-929E-31C23005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DF0"/>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WFHeading2">
    <w:name w:val="FWF Heading 2"/>
    <w:basedOn w:val="Normal"/>
    <w:link w:val="FWFHeading2Char"/>
    <w:qFormat/>
    <w:rsid w:val="001F0DF0"/>
    <w:pPr>
      <w:autoSpaceDE w:val="0"/>
      <w:autoSpaceDN w:val="0"/>
      <w:adjustRightInd w:val="0"/>
      <w:spacing w:after="23" w:line="240" w:lineRule="auto"/>
    </w:pPr>
    <w:rPr>
      <w:rFonts w:ascii="Arial" w:hAnsi="Arial" w:cs="Arial"/>
      <w:b/>
      <w:color w:val="000000"/>
    </w:rPr>
  </w:style>
  <w:style w:type="character" w:customStyle="1" w:styleId="FWFHeading2Char">
    <w:name w:val="FWF Heading 2 Char"/>
    <w:link w:val="FWFHeading2"/>
    <w:rsid w:val="001F0DF0"/>
    <w:rPr>
      <w:rFonts w:ascii="Arial" w:eastAsia="Calibri" w:hAnsi="Arial" w:cs="Arial"/>
      <w:b/>
      <w:color w:val="000000"/>
      <w:sz w:val="22"/>
      <w:szCs w:val="22"/>
    </w:rPr>
  </w:style>
  <w:style w:type="paragraph" w:customStyle="1" w:styleId="FWFHeading1">
    <w:name w:val="FWF Heading 1"/>
    <w:basedOn w:val="Normal"/>
    <w:link w:val="FWFHeading1Char"/>
    <w:qFormat/>
    <w:rsid w:val="001F0DF0"/>
    <w:pPr>
      <w:autoSpaceDE w:val="0"/>
      <w:autoSpaceDN w:val="0"/>
      <w:adjustRightInd w:val="0"/>
      <w:spacing w:after="0" w:line="240" w:lineRule="auto"/>
    </w:pPr>
    <w:rPr>
      <w:rFonts w:ascii="Arial" w:hAnsi="Arial" w:cs="Arial"/>
      <w:b/>
      <w:bCs/>
      <w:color w:val="000000"/>
      <w:sz w:val="24"/>
      <w:szCs w:val="24"/>
    </w:rPr>
  </w:style>
  <w:style w:type="character" w:customStyle="1" w:styleId="FWFHeading1Char">
    <w:name w:val="FWF Heading 1 Char"/>
    <w:link w:val="FWFHeading1"/>
    <w:rsid w:val="001F0DF0"/>
    <w:rPr>
      <w:rFonts w:ascii="Arial" w:eastAsia="Calibri" w:hAnsi="Arial" w:cs="Arial"/>
      <w:b/>
      <w:bCs/>
      <w:color w:val="000000"/>
    </w:rPr>
  </w:style>
  <w:style w:type="character" w:styleId="Hyperlink">
    <w:name w:val="Hyperlink"/>
    <w:basedOn w:val="DefaultParagraphFont"/>
    <w:uiPriority w:val="99"/>
    <w:unhideWhenUsed/>
    <w:rsid w:val="001F0DF0"/>
    <w:rPr>
      <w:color w:val="0563C1" w:themeColor="hyperlink"/>
      <w:u w:val="single"/>
    </w:rPr>
  </w:style>
  <w:style w:type="paragraph" w:customStyle="1" w:styleId="p1">
    <w:name w:val="p1"/>
    <w:basedOn w:val="Normal"/>
    <w:rsid w:val="001F0DF0"/>
    <w:pPr>
      <w:spacing w:after="0" w:line="240" w:lineRule="auto"/>
    </w:pPr>
    <w:rPr>
      <w:rFonts w:ascii="Times" w:hAnsi="Times"/>
      <w:sz w:val="14"/>
      <w:szCs w:val="14"/>
      <w:lang w:eastAsia="en-GB"/>
    </w:rPr>
  </w:style>
  <w:style w:type="paragraph" w:styleId="ListParagraph">
    <w:name w:val="List Paragraph"/>
    <w:basedOn w:val="Normal"/>
    <w:uiPriority w:val="34"/>
    <w:qFormat/>
    <w:rsid w:val="00592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BrufordMW@Cardiff.ac.uk"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ussoIM@cardiff.ac.uk" TargetMode="External"/><Relationship Id="rId11" Type="http://schemas.openxmlformats.org/officeDocument/2006/relationships/image" Target="media/image4.emf"/><Relationship Id="rId5" Type="http://schemas.openxmlformats.org/officeDocument/2006/relationships/hyperlink" Target="mailto:yoshan.moodley@univen.ac.za" TargetMode="External"/><Relationship Id="rId15" Type="http://schemas.openxmlformats.org/officeDocument/2006/relationships/theme" Target="theme/theme1.xml"/><Relationship Id="rId10" Type="http://schemas.openxmlformats.org/officeDocument/2006/relationships/image" Target="media/image3.(null)"/><Relationship Id="rId4" Type="http://schemas.openxmlformats.org/officeDocument/2006/relationships/webSettings" Target="webSettings.xml"/><Relationship Id="rId9" Type="http://schemas.openxmlformats.org/officeDocument/2006/relationships/image" Target="media/image2.(nul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13</Pages>
  <Words>2779</Words>
  <Characters>15843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Isa-Rita Russo</dc:creator>
  <cp:keywords/>
  <dc:description/>
  <cp:lastModifiedBy>Prof Moodley</cp:lastModifiedBy>
  <cp:revision>4</cp:revision>
  <dcterms:created xsi:type="dcterms:W3CDTF">2018-10-18T11:16:00Z</dcterms:created>
  <dcterms:modified xsi:type="dcterms:W3CDTF">2018-10-18T21:29:00Z</dcterms:modified>
</cp:coreProperties>
</file>