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71D014" w14:textId="77777777" w:rsidR="00683876" w:rsidRPr="00912957" w:rsidRDefault="003870BD" w:rsidP="00A13BA5">
      <w:pPr>
        <w:spacing w:line="360" w:lineRule="auto"/>
        <w:rPr>
          <w:rFonts w:ascii="Times New Roman" w:hAnsi="Times New Roman" w:cs="Times New Roman"/>
          <w:b/>
        </w:rPr>
      </w:pPr>
      <w:r w:rsidRPr="00912957">
        <w:rPr>
          <w:rFonts w:ascii="Times New Roman" w:hAnsi="Times New Roman" w:cs="Times New Roman"/>
          <w:b/>
        </w:rPr>
        <w:t>Supplementary Material</w:t>
      </w:r>
    </w:p>
    <w:p w14:paraId="5F48592E" w14:textId="427008EC" w:rsidR="00120DC7" w:rsidRDefault="00120DC7" w:rsidP="00A13BA5">
      <w:pPr>
        <w:spacing w:line="360" w:lineRule="auto"/>
        <w:outlineLvl w:val="0"/>
        <w:rPr>
          <w:rFonts w:ascii="Times New Roman" w:hAnsi="Times New Roman" w:cs="Times New Roman"/>
          <w:b/>
        </w:rPr>
      </w:pPr>
      <w:bookmarkStart w:id="0" w:name="OLE_LINK11"/>
      <w:bookmarkStart w:id="1" w:name="OLE_LINK12"/>
      <w:r>
        <w:rPr>
          <w:rFonts w:ascii="Times New Roman" w:hAnsi="Times New Roman" w:cs="Times New Roman"/>
          <w:b/>
        </w:rPr>
        <w:t>Non-stationary climate-salmon relationships in the</w:t>
      </w:r>
      <w:r w:rsidR="00673904" w:rsidRPr="009314B4">
        <w:rPr>
          <w:rFonts w:ascii="Times New Roman" w:hAnsi="Times New Roman" w:cs="Times New Roman"/>
          <w:b/>
        </w:rPr>
        <w:t xml:space="preserve"> Gulf of Alaska </w:t>
      </w:r>
    </w:p>
    <w:p w14:paraId="75922DF6" w14:textId="5F130E43" w:rsidR="00673904" w:rsidRPr="009314B4" w:rsidRDefault="00673904" w:rsidP="00A13BA5">
      <w:pPr>
        <w:spacing w:line="360" w:lineRule="auto"/>
        <w:outlineLvl w:val="0"/>
        <w:rPr>
          <w:rFonts w:ascii="Times New Roman" w:hAnsi="Times New Roman" w:cs="Times New Roman"/>
          <w:b/>
        </w:rPr>
      </w:pPr>
    </w:p>
    <w:bookmarkEnd w:id="0"/>
    <w:bookmarkEnd w:id="1"/>
    <w:p w14:paraId="03FA1C46" w14:textId="6C643824" w:rsidR="00673904" w:rsidRDefault="00673904" w:rsidP="00A13BA5">
      <w:pPr>
        <w:spacing w:line="360" w:lineRule="auto"/>
        <w:rPr>
          <w:rFonts w:ascii="Times New Roman" w:hAnsi="Times New Roman" w:cs="Times New Roman"/>
          <w:b/>
          <w:sz w:val="22"/>
          <w:szCs w:val="22"/>
        </w:rPr>
      </w:pPr>
      <w:r w:rsidRPr="009314B4">
        <w:rPr>
          <w:rFonts w:ascii="Times New Roman" w:hAnsi="Times New Roman" w:cs="Times New Roman"/>
        </w:rPr>
        <w:t>Michael A. Litzow, Lorenzo Ciannelli, Patricia Puerta, Justin J. Wettstein, Ryan R. Rykaczewski, and Michael Opiekun</w:t>
      </w:r>
      <w:r w:rsidR="003534FA">
        <w:rPr>
          <w:rFonts w:ascii="Times New Roman" w:hAnsi="Times New Roman" w:cs="Times New Roman"/>
        </w:rPr>
        <w:t xml:space="preserve"> </w:t>
      </w:r>
    </w:p>
    <w:p w14:paraId="5BCABACE" w14:textId="77777777" w:rsidR="000D6233" w:rsidRPr="00194622" w:rsidRDefault="000D6233" w:rsidP="00A13BA5">
      <w:pPr>
        <w:spacing w:line="360" w:lineRule="auto"/>
        <w:rPr>
          <w:rFonts w:ascii="Times New Roman" w:hAnsi="Times New Roman" w:cs="Times New Roman"/>
        </w:rPr>
      </w:pPr>
      <w:bookmarkStart w:id="2" w:name="_GoBack"/>
      <w:bookmarkEnd w:id="2"/>
    </w:p>
    <w:p w14:paraId="2D1B5E1B" w14:textId="77777777" w:rsidR="00102B84" w:rsidRDefault="00102B84" w:rsidP="00A13BA5">
      <w:pPr>
        <w:spacing w:line="360" w:lineRule="auto"/>
        <w:rPr>
          <w:rFonts w:ascii="Times New Roman" w:hAnsi="Times New Roman" w:cs="Times New Roman"/>
        </w:rPr>
      </w:pPr>
      <w:r>
        <w:rPr>
          <w:rFonts w:ascii="Times New Roman" w:hAnsi="Times New Roman" w:cs="Times New Roman"/>
          <w:b/>
        </w:rPr>
        <w:t>Detailed Methods</w:t>
      </w:r>
    </w:p>
    <w:p w14:paraId="73B45FB5" w14:textId="05850200" w:rsidR="008A39BA" w:rsidRDefault="008A39BA" w:rsidP="00A13BA5">
      <w:pPr>
        <w:spacing w:line="360" w:lineRule="auto"/>
        <w:rPr>
          <w:rFonts w:ascii="Times New Roman" w:hAnsi="Times New Roman" w:cs="Times New Roman"/>
        </w:rPr>
      </w:pPr>
      <w:r>
        <w:rPr>
          <w:rFonts w:ascii="Times New Roman" w:hAnsi="Times New Roman" w:cs="Times New Roman"/>
        </w:rPr>
        <w:t>The use of longer time series (1950-2012) for analysis of climate data was motivated by the availability of reliable data at this temporal scale, and our desire to maximize the degrees of freedom for analysis of pre/post 1988/</w:t>
      </w:r>
      <w:r w:rsidR="00B46482">
        <w:rPr>
          <w:rFonts w:ascii="Times New Roman" w:hAnsi="Times New Roman" w:cs="Times New Roman"/>
        </w:rPr>
        <w:t>19</w:t>
      </w:r>
      <w:r>
        <w:rPr>
          <w:rFonts w:ascii="Times New Roman" w:hAnsi="Times New Roman" w:cs="Times New Roman"/>
        </w:rPr>
        <w:t xml:space="preserve">89 dynamics. The </w:t>
      </w:r>
      <w:r w:rsidR="00364F2A">
        <w:rPr>
          <w:rFonts w:ascii="Times New Roman" w:hAnsi="Times New Roman" w:cs="Times New Roman"/>
        </w:rPr>
        <w:t xml:space="preserve">use of </w:t>
      </w:r>
      <w:r>
        <w:rPr>
          <w:rFonts w:ascii="Times New Roman" w:hAnsi="Times New Roman" w:cs="Times New Roman"/>
        </w:rPr>
        <w:t xml:space="preserve">shorter time series for salmon data (1960-2012 for spawner-recruit time series, 1965-2012 for catches) was motivated by the availability of data and the point at which fisheries were judged to be fully developed, respectively. PCA of salmon catches and Gulf of </w:t>
      </w:r>
      <w:r w:rsidR="00822A4F">
        <w:rPr>
          <w:rFonts w:ascii="Times New Roman" w:hAnsi="Times New Roman" w:cs="Times New Roman"/>
        </w:rPr>
        <w:t>Alaska</w:t>
      </w:r>
      <w:r>
        <w:rPr>
          <w:rFonts w:ascii="Times New Roman" w:hAnsi="Times New Roman" w:cs="Times New Roman"/>
        </w:rPr>
        <w:t xml:space="preserve"> climate variables used data that had been scaled </w:t>
      </w:r>
      <w:r w:rsidR="00364F2A">
        <w:rPr>
          <w:rFonts w:ascii="Times New Roman" w:hAnsi="Times New Roman" w:cs="Times New Roman"/>
        </w:rPr>
        <w:t xml:space="preserve">as </w:t>
      </w:r>
      <w:r>
        <w:rPr>
          <w:rFonts w:ascii="Times New Roman" w:hAnsi="Times New Roman" w:cs="Times New Roman"/>
        </w:rPr>
        <w:t xml:space="preserve">mean 0, unit variance prior to analysis. </w:t>
      </w:r>
    </w:p>
    <w:p w14:paraId="0DF5FFE3" w14:textId="08232DFA" w:rsidR="00990EE7" w:rsidRDefault="00102B84" w:rsidP="00A13BA5">
      <w:pPr>
        <w:spacing w:line="360" w:lineRule="auto"/>
        <w:ind w:firstLine="720"/>
        <w:rPr>
          <w:rFonts w:ascii="Times New Roman" w:hAnsi="Times New Roman" w:cs="Times New Roman"/>
        </w:rPr>
      </w:pPr>
      <w:r w:rsidRPr="009314B4">
        <w:rPr>
          <w:rFonts w:ascii="Times New Roman" w:hAnsi="Times New Roman" w:cs="Times New Roman"/>
        </w:rPr>
        <w:t>P</w:t>
      </w:r>
      <w:r w:rsidR="008B6B73">
        <w:rPr>
          <w:rFonts w:ascii="Times New Roman" w:hAnsi="Times New Roman" w:cs="Times New Roman"/>
        </w:rPr>
        <w:t>rincipal Compo</w:t>
      </w:r>
      <w:r w:rsidR="007304CF">
        <w:rPr>
          <w:rFonts w:ascii="Times New Roman" w:hAnsi="Times New Roman" w:cs="Times New Roman"/>
        </w:rPr>
        <w:t>n</w:t>
      </w:r>
      <w:r w:rsidR="008B6B73">
        <w:rPr>
          <w:rFonts w:ascii="Times New Roman" w:hAnsi="Times New Roman" w:cs="Times New Roman"/>
        </w:rPr>
        <w:t>ents (PC) / Empirical Orthogonal Function (EOF) analysis (hereafter PCA)</w:t>
      </w:r>
      <w:r w:rsidRPr="009314B4">
        <w:rPr>
          <w:rFonts w:ascii="Times New Roman" w:hAnsi="Times New Roman" w:cs="Times New Roman"/>
        </w:rPr>
        <w:t xml:space="preserve"> of North Pacific SST</w:t>
      </w:r>
      <w:r w:rsidR="006F52BC">
        <w:rPr>
          <w:rFonts w:ascii="Times New Roman" w:hAnsi="Times New Roman" w:cs="Times New Roman"/>
        </w:rPr>
        <w:t>a</w:t>
      </w:r>
      <w:r w:rsidRPr="009314B4">
        <w:rPr>
          <w:rFonts w:ascii="Times New Roman" w:hAnsi="Times New Roman" w:cs="Times New Roman"/>
        </w:rPr>
        <w:t xml:space="preserve"> data </w:t>
      </w:r>
      <w:r>
        <w:rPr>
          <w:rFonts w:ascii="Times New Roman" w:hAnsi="Times New Roman" w:cs="Times New Roman"/>
        </w:rPr>
        <w:t xml:space="preserve">(Fig. 1) was </w:t>
      </w:r>
      <w:r w:rsidRPr="009314B4">
        <w:rPr>
          <w:rFonts w:ascii="Times New Roman" w:hAnsi="Times New Roman" w:cs="Times New Roman"/>
        </w:rPr>
        <w:t xml:space="preserve">calculated </w:t>
      </w:r>
      <w:r w:rsidR="008B6B73">
        <w:rPr>
          <w:rFonts w:ascii="Times New Roman" w:hAnsi="Times New Roman" w:cs="Times New Roman"/>
        </w:rPr>
        <w:t>by applying</w:t>
      </w:r>
      <w:r w:rsidR="008B6B73" w:rsidRPr="009314B4">
        <w:rPr>
          <w:rFonts w:ascii="Times New Roman" w:hAnsi="Times New Roman" w:cs="Times New Roman"/>
        </w:rPr>
        <w:t xml:space="preserve"> </w:t>
      </w:r>
      <w:r w:rsidRPr="009314B4">
        <w:rPr>
          <w:rFonts w:ascii="Times New Roman" w:hAnsi="Times New Roman" w:cs="Times New Roman"/>
        </w:rPr>
        <w:t xml:space="preserve">singular value decomposition </w:t>
      </w:r>
      <w:r>
        <w:rPr>
          <w:rFonts w:ascii="Times New Roman" w:hAnsi="Times New Roman" w:cs="Times New Roman"/>
        </w:rPr>
        <w:t xml:space="preserve">(SVD) </w:t>
      </w:r>
      <w:r w:rsidR="007304CF">
        <w:rPr>
          <w:rFonts w:ascii="Times New Roman" w:hAnsi="Times New Roman" w:cs="Times New Roman"/>
        </w:rPr>
        <w:t>to</w:t>
      </w:r>
      <w:r w:rsidR="007304CF" w:rsidRPr="009314B4">
        <w:rPr>
          <w:rFonts w:ascii="Times New Roman" w:hAnsi="Times New Roman" w:cs="Times New Roman"/>
        </w:rPr>
        <w:t xml:space="preserve"> </w:t>
      </w:r>
      <w:r w:rsidRPr="009314B4">
        <w:rPr>
          <w:rFonts w:ascii="Times New Roman" w:hAnsi="Times New Roman" w:cs="Times New Roman"/>
        </w:rPr>
        <w:t>the covariance matrices among individual 2º x 2º cells in the spatial domain 20º-6</w:t>
      </w:r>
      <w:r>
        <w:rPr>
          <w:rFonts w:ascii="Times New Roman" w:hAnsi="Times New Roman" w:cs="Times New Roman"/>
        </w:rPr>
        <w:t>6</w:t>
      </w:r>
      <w:r w:rsidRPr="009314B4">
        <w:rPr>
          <w:rFonts w:ascii="Times New Roman" w:hAnsi="Times New Roman" w:cs="Times New Roman"/>
        </w:rPr>
        <w:t>º N, 132º E-110º W</w:t>
      </w:r>
      <w:r w:rsidR="002A3346">
        <w:rPr>
          <w:rFonts w:ascii="Times New Roman" w:hAnsi="Times New Roman" w:cs="Times New Roman"/>
        </w:rPr>
        <w:t>.</w:t>
      </w:r>
      <w:r w:rsidRPr="009314B4">
        <w:rPr>
          <w:rFonts w:ascii="Times New Roman" w:hAnsi="Times New Roman" w:cs="Times New Roman"/>
        </w:rPr>
        <w:t xml:space="preserve"> </w:t>
      </w:r>
      <w:r w:rsidR="002A3346">
        <w:rPr>
          <w:rFonts w:ascii="Times New Roman" w:hAnsi="Times New Roman" w:cs="Times New Roman"/>
        </w:rPr>
        <w:t>Prior to analysis</w:t>
      </w:r>
      <w:r w:rsidR="002A3346" w:rsidRPr="009314B4">
        <w:rPr>
          <w:rFonts w:ascii="Times New Roman" w:hAnsi="Times New Roman" w:cs="Times New Roman"/>
        </w:rPr>
        <w:t xml:space="preserve"> </w:t>
      </w:r>
      <w:r w:rsidRPr="009314B4">
        <w:rPr>
          <w:rFonts w:ascii="Times New Roman" w:hAnsi="Times New Roman" w:cs="Times New Roman"/>
        </w:rPr>
        <w:t xml:space="preserve">the seasonal signal and linear trend </w:t>
      </w:r>
      <w:r w:rsidR="007304CF">
        <w:rPr>
          <w:rFonts w:ascii="Times New Roman" w:hAnsi="Times New Roman" w:cs="Times New Roman"/>
        </w:rPr>
        <w:t>were</w:t>
      </w:r>
      <w:r w:rsidRPr="009314B4">
        <w:rPr>
          <w:rFonts w:ascii="Times New Roman" w:hAnsi="Times New Roman" w:cs="Times New Roman"/>
        </w:rPr>
        <w:t xml:space="preserve"> removed from</w:t>
      </w:r>
      <w:r w:rsidR="008B6B73">
        <w:rPr>
          <w:rFonts w:ascii="Times New Roman" w:hAnsi="Times New Roman" w:cs="Times New Roman"/>
        </w:rPr>
        <w:t xml:space="preserve"> the time series at</w:t>
      </w:r>
      <w:r w:rsidRPr="009314B4">
        <w:rPr>
          <w:rFonts w:ascii="Times New Roman" w:hAnsi="Times New Roman" w:cs="Times New Roman"/>
        </w:rPr>
        <w:t xml:space="preserve"> each </w:t>
      </w:r>
      <w:r w:rsidR="008B6B73">
        <w:rPr>
          <w:rFonts w:ascii="Times New Roman" w:hAnsi="Times New Roman" w:cs="Times New Roman"/>
        </w:rPr>
        <w:t>grid</w:t>
      </w:r>
      <w:r w:rsidR="007304CF">
        <w:rPr>
          <w:rFonts w:ascii="Times New Roman" w:hAnsi="Times New Roman" w:cs="Times New Roman"/>
        </w:rPr>
        <w:t xml:space="preserve"> </w:t>
      </w:r>
      <w:r w:rsidRPr="009314B4">
        <w:rPr>
          <w:rFonts w:ascii="Times New Roman" w:hAnsi="Times New Roman" w:cs="Times New Roman"/>
        </w:rPr>
        <w:t xml:space="preserve">cell, with </w:t>
      </w:r>
      <w:r w:rsidR="008B6B73">
        <w:rPr>
          <w:rFonts w:ascii="Times New Roman" w:hAnsi="Times New Roman" w:cs="Times New Roman"/>
        </w:rPr>
        <w:t xml:space="preserve">variance </w:t>
      </w:r>
      <w:r w:rsidRPr="009314B4">
        <w:rPr>
          <w:rFonts w:ascii="Times New Roman" w:hAnsi="Times New Roman" w:cs="Times New Roman"/>
        </w:rPr>
        <w:t xml:space="preserve">weighted in the PCA </w:t>
      </w:r>
      <w:r w:rsidR="007304CF">
        <w:rPr>
          <w:rFonts w:ascii="Times New Roman" w:hAnsi="Times New Roman" w:cs="Times New Roman"/>
        </w:rPr>
        <w:t>by</w:t>
      </w:r>
      <w:r w:rsidR="008B6B73">
        <w:rPr>
          <w:rFonts w:ascii="Times New Roman" w:hAnsi="Times New Roman" w:cs="Times New Roman"/>
        </w:rPr>
        <w:t xml:space="preserve"> cell</w:t>
      </w:r>
      <w:r w:rsidRPr="009314B4">
        <w:rPr>
          <w:rFonts w:ascii="Times New Roman" w:hAnsi="Times New Roman" w:cs="Times New Roman"/>
        </w:rPr>
        <w:t xml:space="preserve"> area.</w:t>
      </w:r>
      <w:r w:rsidR="00990EE7">
        <w:rPr>
          <w:rFonts w:ascii="Times New Roman" w:hAnsi="Times New Roman" w:cs="Times New Roman"/>
        </w:rPr>
        <w:t xml:space="preserve"> </w:t>
      </w:r>
      <w:r w:rsidR="007304CF">
        <w:rPr>
          <w:rFonts w:ascii="Times New Roman" w:hAnsi="Times New Roman" w:cs="Times New Roman"/>
        </w:rPr>
        <w:t>We follow the oceanography convention of using “</w:t>
      </w:r>
      <w:r w:rsidR="00ED59D1">
        <w:rPr>
          <w:rFonts w:ascii="Times New Roman" w:hAnsi="Times New Roman" w:cs="Times New Roman"/>
        </w:rPr>
        <w:t>PC</w:t>
      </w:r>
      <w:r w:rsidR="007304CF">
        <w:rPr>
          <w:rFonts w:ascii="Times New Roman" w:hAnsi="Times New Roman" w:cs="Times New Roman"/>
        </w:rPr>
        <w:t>”</w:t>
      </w:r>
      <w:r w:rsidR="00ED59D1">
        <w:rPr>
          <w:rFonts w:ascii="Times New Roman" w:hAnsi="Times New Roman" w:cs="Times New Roman"/>
        </w:rPr>
        <w:t xml:space="preserve"> </w:t>
      </w:r>
      <w:r w:rsidR="007304CF">
        <w:rPr>
          <w:rFonts w:ascii="Times New Roman" w:hAnsi="Times New Roman" w:cs="Times New Roman"/>
        </w:rPr>
        <w:t>to</w:t>
      </w:r>
      <w:r w:rsidR="00ED59D1">
        <w:rPr>
          <w:rFonts w:ascii="Times New Roman" w:hAnsi="Times New Roman" w:cs="Times New Roman"/>
        </w:rPr>
        <w:t xml:space="preserve"> refer to time series and </w:t>
      </w:r>
      <w:r w:rsidR="007304CF">
        <w:rPr>
          <w:rFonts w:ascii="Times New Roman" w:hAnsi="Times New Roman" w:cs="Times New Roman"/>
        </w:rPr>
        <w:t>“</w:t>
      </w:r>
      <w:r w:rsidR="00ED59D1">
        <w:rPr>
          <w:rFonts w:ascii="Times New Roman" w:hAnsi="Times New Roman" w:cs="Times New Roman"/>
        </w:rPr>
        <w:t>EOF</w:t>
      </w:r>
      <w:r w:rsidR="007304CF">
        <w:rPr>
          <w:rFonts w:ascii="Times New Roman" w:hAnsi="Times New Roman" w:cs="Times New Roman"/>
        </w:rPr>
        <w:t>” to</w:t>
      </w:r>
      <w:r w:rsidR="00ED59D1">
        <w:rPr>
          <w:rFonts w:ascii="Times New Roman" w:hAnsi="Times New Roman" w:cs="Times New Roman"/>
        </w:rPr>
        <w:t xml:space="preserve"> refer to the </w:t>
      </w:r>
      <w:r w:rsidR="007304CF">
        <w:rPr>
          <w:rFonts w:ascii="Times New Roman" w:hAnsi="Times New Roman" w:cs="Times New Roman"/>
        </w:rPr>
        <w:t>spatial loadings (</w:t>
      </w:r>
      <w:r w:rsidR="009D33AC">
        <w:rPr>
          <w:rFonts w:ascii="Times New Roman" w:hAnsi="Times New Roman" w:cs="Times New Roman"/>
        </w:rPr>
        <w:t>coefficients</w:t>
      </w:r>
      <w:r w:rsidR="007304CF">
        <w:rPr>
          <w:rFonts w:ascii="Times New Roman" w:hAnsi="Times New Roman" w:cs="Times New Roman"/>
        </w:rPr>
        <w:t>)</w:t>
      </w:r>
      <w:r w:rsidR="009D33AC">
        <w:rPr>
          <w:rFonts w:ascii="Times New Roman" w:hAnsi="Times New Roman" w:cs="Times New Roman"/>
        </w:rPr>
        <w:t xml:space="preserve"> applied to the input time series to generate the PC</w:t>
      </w:r>
      <w:r w:rsidR="007304CF">
        <w:rPr>
          <w:rFonts w:ascii="Times New Roman" w:hAnsi="Times New Roman" w:cs="Times New Roman"/>
        </w:rPr>
        <w:t>.</w:t>
      </w:r>
      <w:r w:rsidR="009D33AC">
        <w:rPr>
          <w:rFonts w:ascii="Times New Roman" w:hAnsi="Times New Roman" w:cs="Times New Roman"/>
        </w:rPr>
        <w:t xml:space="preserve"> </w:t>
      </w:r>
      <w:r w:rsidR="003E2AD2" w:rsidRPr="009314B4">
        <w:rPr>
          <w:rFonts w:ascii="Times New Roman" w:hAnsi="Times New Roman" w:cs="Times New Roman"/>
        </w:rPr>
        <w:t>Rolling PCAs of SST</w:t>
      </w:r>
      <w:r w:rsidR="006F52BC">
        <w:rPr>
          <w:rFonts w:ascii="Times New Roman" w:hAnsi="Times New Roman" w:cs="Times New Roman"/>
        </w:rPr>
        <w:t>a</w:t>
      </w:r>
      <w:r w:rsidR="003E2AD2" w:rsidRPr="009314B4">
        <w:rPr>
          <w:rFonts w:ascii="Times New Roman" w:hAnsi="Times New Roman" w:cs="Times New Roman"/>
        </w:rPr>
        <w:t xml:space="preserve"> were calculated on monthly data from January 1950 (the beginning of the </w:t>
      </w:r>
      <w:r w:rsidR="00E30156">
        <w:rPr>
          <w:rFonts w:ascii="Times New Roman" w:hAnsi="Times New Roman" w:cs="Times New Roman"/>
        </w:rPr>
        <w:t>published</w:t>
      </w:r>
      <w:r w:rsidR="003E2AD2" w:rsidRPr="009314B4">
        <w:rPr>
          <w:rFonts w:ascii="Times New Roman" w:hAnsi="Times New Roman" w:cs="Times New Roman"/>
        </w:rPr>
        <w:t xml:space="preserve"> NPGO</w:t>
      </w:r>
      <w:r w:rsidR="00E30156">
        <w:rPr>
          <w:rFonts w:ascii="Times New Roman" w:hAnsi="Times New Roman" w:cs="Times New Roman"/>
        </w:rPr>
        <w:t xml:space="preserve"> index</w:t>
      </w:r>
      <w:r w:rsidR="003E2AD2" w:rsidRPr="009314B4">
        <w:rPr>
          <w:rFonts w:ascii="Times New Roman" w:hAnsi="Times New Roman" w:cs="Times New Roman"/>
        </w:rPr>
        <w:t>) through December 2012. The first PCA was calculated for the period January 1950 - January 1971, the second analysis was calculated for February 1950 - February 1971, etc. The resulting PC1-2 scores were correlated with the PDO and NPGO indices averaged over identical 21-year windows, and correlation coefficients were plotted for the</w:t>
      </w:r>
      <w:r w:rsidR="003E2AD2">
        <w:rPr>
          <w:rFonts w:ascii="Times New Roman" w:hAnsi="Times New Roman" w:cs="Times New Roman"/>
        </w:rPr>
        <w:t xml:space="preserve"> center of each 21-year window. </w:t>
      </w:r>
      <w:r w:rsidR="00990EE7">
        <w:rPr>
          <w:rFonts w:ascii="Times New Roman" w:hAnsi="Times New Roman" w:cs="Times New Roman"/>
        </w:rPr>
        <w:t>We selected the 21-year rolling window length (Fig. 1a,b) as</w:t>
      </w:r>
      <w:r w:rsidR="009D33AC">
        <w:rPr>
          <w:rFonts w:ascii="Times New Roman" w:hAnsi="Times New Roman" w:cs="Times New Roman"/>
        </w:rPr>
        <w:t xml:space="preserve"> the</w:t>
      </w:r>
      <w:r w:rsidR="00990EE7">
        <w:rPr>
          <w:rFonts w:ascii="Times New Roman" w:hAnsi="Times New Roman" w:cs="Times New Roman"/>
        </w:rPr>
        <w:t xml:space="preserve"> shortest length that would allow the SVD routine to </w:t>
      </w:r>
      <w:r w:rsidR="009D33AC">
        <w:rPr>
          <w:rFonts w:ascii="Times New Roman" w:hAnsi="Times New Roman" w:cs="Times New Roman"/>
        </w:rPr>
        <w:t xml:space="preserve">consistently </w:t>
      </w:r>
      <w:r w:rsidR="00990EE7">
        <w:rPr>
          <w:rFonts w:ascii="Times New Roman" w:hAnsi="Times New Roman" w:cs="Times New Roman"/>
        </w:rPr>
        <w:t>converge; short windows allowed the timing of the change to be identified relatively precisely.</w:t>
      </w:r>
    </w:p>
    <w:p w14:paraId="31666548" w14:textId="3EBE0593" w:rsidR="003E2AD2" w:rsidRDefault="003E2AD2" w:rsidP="00A13BA5">
      <w:pPr>
        <w:spacing w:line="360" w:lineRule="auto"/>
        <w:ind w:firstLine="720"/>
        <w:rPr>
          <w:rFonts w:ascii="Times New Roman" w:hAnsi="Times New Roman" w:cs="Times New Roman"/>
        </w:rPr>
      </w:pPr>
      <w:r>
        <w:rPr>
          <w:rFonts w:ascii="Times New Roman" w:hAnsi="Times New Roman" w:cs="Times New Roman"/>
        </w:rPr>
        <w:t>Variability in North Pacific physical variables such as SST</w:t>
      </w:r>
      <w:r w:rsidR="009D33AC">
        <w:rPr>
          <w:rFonts w:ascii="Times New Roman" w:hAnsi="Times New Roman" w:cs="Times New Roman"/>
        </w:rPr>
        <w:t>a</w:t>
      </w:r>
      <w:r>
        <w:rPr>
          <w:rFonts w:ascii="Times New Roman" w:hAnsi="Times New Roman" w:cs="Times New Roman"/>
        </w:rPr>
        <w:t xml:space="preserve"> is more coherent spatially and temporally in the winter </w:t>
      </w:r>
      <w:r>
        <w:rPr>
          <w:rFonts w:ascii="Times New Roman" w:hAnsi="Times New Roman" w:cs="Times New Roman"/>
        </w:rPr>
        <w:fldChar w:fldCharType="begin" w:fldLock="1"/>
      </w:r>
      <w:r w:rsidR="00CE116A">
        <w:rPr>
          <w:rFonts w:ascii="Times New Roman" w:hAnsi="Times New Roman" w:cs="Times New Roman"/>
        </w:rPr>
        <w:instrText>ADDIN CSL_CITATION {"citationItems":[{"id":"ITEM-1","itemData":{"DOI":"10.1046/j.1365-2419.2002.00192.x","ISBN":"1054-6006","ISSN":"10546006","abstract":"We examined spatial correlations for three coastal variables [upwelling index, sea surface temperature (SST), and sea surface salinity (SSS)] that might affect juvenile salmon (Oncorhynchus spp.) during their early marine life. Observed correlation patterns in environmental variables were compared with those in survival rates of pink (O. gorbuscha ), chum (O. keta ), and sockeye (O. nerka ) salmon stocks to help identify appropriate variables to include in models of salmon productivity. Both the upwelling index and coastal SST were characterized by strong positive correlations at short distances, which declined slowly with distance in the winter months, but much more rapidly in the summer. The SSS had much weaker and more variable correlations at all distances throughout the year. The distance at which stations were no longer correlated (spatial decorrelation scale) was largest for the upwelling index (&gt; 1000 km), intermediate for SST (400-800 km in summer), and shortest for SSS (&lt; 400 km). Survival rate indices of salmon showed moderate positive correlations among adjacent stocks that decreased to zero at larger distances. Spatial decorrelation scales ranged from approximately 500 km for sockeye salmon to approximately 1000 km for chum salmon. We conclude that variability in the coastal marine environment during summer, as well as variability in salmon survival rates, are dominated by regional scale variability of several hundred to 1000 km. The correlation scale for SST in the summer most closely matched the observed correlation scales for survival rates of salmon, suggesting that regional-scale variations in coastal SST can help explain the observed regional-scale covariation in survival rates among salmon stocks.","author":[{"dropping-particle":"","family":"Mueter","given":"F.J.","non-dropping-particle":"","parse-names":false,"suffix":""},{"dropping-particle":"","family":"Ware","given":"Dan M.","non-dropping-particle":"","parse-names":false,"suffix":""},{"dropping-particle":"","family":"Peterman","given":"Randall M.","non-dropping-particle":"","parse-names":false,"suffix":""}],"container-title":"Fisheries Oceanography","id":"ITEM-1","issue":"4","issued":{"date-parts":[["2002"]]},"note":"From Duplicate 2 (Spatial correlation patterns in coastal environmental variables and survival rates of salmon in the north-east Pacific Ocean - Mueter, F J; Ware, D M; Peterman, R M)\n\nTimes Cited: 90\nMueter, FJ Ware, DM Peterman, RM\n91","page":"205-218","title":"Spatial correlation patterns in coastal environmental variables and survival rates of salmon in the north-east Pacific Ocean","type":"article-journal","volume":"11"},"uris":["http://www.mendeley.com/documents/?uuid=3bed8149-32cd-4cb8-859e-44580841f7b4"]},{"id":"ITEM-2","itemData":{"DOI":"10.1175/2010jcli3325.1","ISBN":"0894-8755","abstract":"This paper examines characteristic changes in North Pacific sea surface temperature (SST) variability during the boreal winter (December-February) for two subperiods (1956-88 and 1977-2009) during which the 1976/77 and the 1988/89 climate transitions occurred. It is found that the Pacific decadal oscillation (PDO)-like SST variability plays a dominant role in the 1976/77 climate transition, while both the North Pacific Gyre Oscillation (NPGO)-like and PDO-like SST variability contribute to the 1988/89 climate transition. Furthermore, the leading mode changes from PDO-like SST variability during the period 1956-88 to NPGO-like SST variability during the period 1977-2009, indicative of an enhancement of NPGO-like SST variability since 1988. Changes in sea level pressure across the 1976/77 climate transition project strongly onto the Aleutian low pressure system. But sea level pressure changes across the 1988/89 climate transition project primarily onto the North Pacific Oscillation, which is associated with remote changes in the Arctic Oscillation over the polar region as well. This contributes to enhancing the NPGO-like SST variability after 1988. The authors also analyze the output from an ensemble of Tropical Ocean and Global Atmosphere (TOGA) experiments in which the observed SSTs are inserted only at grid points in the tropics between 20 degrees S and 20 degrees N. The results indicate that the changes in the North Pacific atmosphere in the 1976/77 climate transition are mostly due to the tropics, whereas those in the 1988/89 climate transition are not.","author":[{"dropping-particle":"","family":"Yeh","given":"S W","non-dropping-particle":"","parse-names":false,"suffix":""},{"dropping-particle":"","family":"Kang","given":"Y J","non-dropping-particle":"","parse-names":false,"suffix":""},{"dropping-particle":"","family":"Noh","given":"Y","non-dropping-particle":"","parse-names":false,"suffix":""},{"dropping-particle":"","family":"Miller","given":"A J","non-dropping-particle":"","parse-names":false,"suffix":""}],"container-title":"Journal of Climate","id":"ITEM-2","issue":"4","issued":{"date-parts":[["2011"]]},"note":"Times Cited: 1\nYeh, Sang-Wook Kang, Yune-Jung Noh, Yign Miller, Arthur J.","page":"1170-1183","title":"The North Pacific climate transitions of the winters of 1976/77 and 1988/89","type":"article-journal","volume":"24"},"uris":["http://www.mendeley.com/documents/?uuid=b587798b-2ab2-4342-a993-51ea5976a2fc"]}],"mendeley":{"formattedCitation":"[1,2]","plainTextFormattedCitation":"[1,2]","previouslyFormattedCitation":"[1,2]"},"properties":{"noteIndex":0},"schema":"https://github.com/citation-style-language/schema/raw/master/csl-citation.json"}</w:instrText>
      </w:r>
      <w:r>
        <w:rPr>
          <w:rFonts w:ascii="Times New Roman" w:hAnsi="Times New Roman" w:cs="Times New Roman"/>
        </w:rPr>
        <w:fldChar w:fldCharType="separate"/>
      </w:r>
      <w:r w:rsidR="003870BD" w:rsidRPr="003870BD">
        <w:rPr>
          <w:rFonts w:ascii="Times New Roman" w:hAnsi="Times New Roman" w:cs="Times New Roman"/>
          <w:noProof/>
        </w:rPr>
        <w:t>[1,2]</w:t>
      </w:r>
      <w:r>
        <w:rPr>
          <w:rFonts w:ascii="Times New Roman" w:hAnsi="Times New Roman" w:cs="Times New Roman"/>
        </w:rPr>
        <w:fldChar w:fldCharType="end"/>
      </w:r>
      <w:r>
        <w:rPr>
          <w:rFonts w:ascii="Times New Roman" w:hAnsi="Times New Roman" w:cs="Times New Roman"/>
        </w:rPr>
        <w:t xml:space="preserve">, and winter values are traditionally used in studies of </w:t>
      </w:r>
      <w:r>
        <w:rPr>
          <w:rFonts w:ascii="Times New Roman" w:hAnsi="Times New Roman" w:cs="Times New Roman"/>
        </w:rPr>
        <w:lastRenderedPageBreak/>
        <w:t xml:space="preserve">PDO/NPGO dynamics </w:t>
      </w:r>
      <w:r>
        <w:rPr>
          <w:rFonts w:ascii="Times New Roman" w:hAnsi="Times New Roman" w:cs="Times New Roman"/>
        </w:rPr>
        <w:fldChar w:fldCharType="begin" w:fldLock="1"/>
      </w:r>
      <w:r w:rsidR="00CE116A">
        <w:rPr>
          <w:rFonts w:ascii="Times New Roman" w:hAnsi="Times New Roman" w:cs="Times New Roman"/>
        </w:rPr>
        <w:instrText>ADDIN CSL_CITATION {"citationItems":[{"id":"ITEM-1","itemData":{"DOI":"10.1175/1520-0477(1997)078&lt;1069:apicow&gt;2.0.co;2","ISBN":"0003-0007","abstract":"Evidence gleaned from the instrumental record of climate data identifies a robust, recurring pattern of ocean-atmosphere climate variability centered over the midlatitude North Pacific basin. Over the past century, the amplitude of this climate pattern has varied irregularly at interannual-to-interdecadal timescales. Then is evidence of reversals in the prevailing polarity of the oscillation occurring around 1925, 1947, and 1977; the last two reversals correspond to dramatic shifts in salmon production regimes in the North Pacific Ocean. This climate pattern also affects coastal sea and continental surface air temperatures, as well as streamflow in major west coast river systems, from Alaska to California.","author":[{"dropping-particle":"","family":"Mantua","given":"N J","non-dropping-particle":"","parse-names":false,"suffix":""},{"dropping-particle":"","family":"Hare","given":"S R","non-dropping-particle":"","parse-names":false,"suffix":""},{"dropping-particle":"","family":"Zhang","given":"Y","non-dropping-particle":"","parse-names":false,"suffix":""},{"dropping-particle":"","family":"Wallace","given":"J M","non-dropping-particle":"","parse-names":false,"suffix":""},{"dropping-particle":"","family":"Francis","given":"R C","non-dropping-particle":"","parse-names":false,"suffix":""}],"container-title":"Bulletin of the American Meteorological Society","id":"ITEM-1","issue":"6","issued":{"date-parts":[["1997"]]},"note":"Times Cited: 2062\nMantua, NJ Hare, SR Zhang, Y Wallace, JM Francis, RC","page":"1069-1079","title":"A Pacific interdecadal climate oscillation with impacts on salmon production","type":"article-journal","volume":"78"},"uris":["http://www.mendeley.com/documents/?uuid=471a3c3d-3120-411a-b948-5c72e2d2cc8b"]},{"id":"ITEM-2","itemData":{"author":[{"dropping-particle":"","family":"Lorenzo","given":"E","non-dropping-particle":"Di","parse-names":false,"suffix":""},{"dropping-particle":"","family":"Schneider","given":"N","non-dropping-particle":"","parse-names":false,"suffix":""},{"dropping-particle":"","family":"Cobb","given":"K M","non-dropping-particle":"","parse-names":false,"suffix":""},{"dropping-particle":"","family":"Franks","given":"P J S","non-dropping-particle":"","parse-names":false,"suffix":""},{"dropping-particle":"","family":"Chhak","given":"K","non-dropping-particle":"","parse-names":false,"suffix":""},{"dropping-particle":"","family":"Miller","given":"A J","non-dropping-particle":"","parse-names":false,"suffix":""},{"dropping-particle":"","family":"McWilliams","given":"J C","non-dropping-particle":"","parse-names":false,"suffix":""},{"dropping-particle":"","family":"Bograd","given":"S J","non-dropping-particle":"","parse-names":false,"suffix":""},{"dropping-particle":"","family":"Arango","given":"H","non-dropping-particle":"","parse-names":false,"suffix":""},{"dropping-particle":"","family":"Curchitser","given":"E","non-dropping-particle":"","parse-names":false,"suffix":""},{"dropping-particle":"","family":"Powell","given":"T M","non-dropping-particle":"","parse-names":false,"suffix":""},{"dropping-particle":"","family":"P.","given":"Rivière.","non-dropping-particle":"","parse-names":false,"suffix":""}],"container-title":"Geophysical Research Letters","id":"ITEM-2","issued":{"date-parts":[["2008"]]},"page":"L08607","title":"North Pacific Gyre Oscillation links ocean climate and ecosystem change","type":"article-journal","volume":"32"},"uris":["http://www.mendeley.com/documents/?uuid=f93c823e-adc0-4192-9fbd-db8cf2124773"]}],"mendeley":{"formattedCitation":"[3,4]","plainTextFormattedCitation":"[3,4]","previouslyFormattedCitation":"[3,4]"},"properties":{"noteIndex":0},"schema":"https://github.com/citation-style-language/schema/raw/master/csl-citation.json"}</w:instrText>
      </w:r>
      <w:r>
        <w:rPr>
          <w:rFonts w:ascii="Times New Roman" w:hAnsi="Times New Roman" w:cs="Times New Roman"/>
        </w:rPr>
        <w:fldChar w:fldCharType="separate"/>
      </w:r>
      <w:r w:rsidR="003870BD" w:rsidRPr="003870BD">
        <w:rPr>
          <w:rFonts w:ascii="Times New Roman" w:hAnsi="Times New Roman" w:cs="Times New Roman"/>
          <w:noProof/>
        </w:rPr>
        <w:t>[3,4]</w:t>
      </w:r>
      <w:r>
        <w:rPr>
          <w:rFonts w:ascii="Times New Roman" w:hAnsi="Times New Roman" w:cs="Times New Roman"/>
        </w:rPr>
        <w:fldChar w:fldCharType="end"/>
      </w:r>
      <w:r>
        <w:rPr>
          <w:rFonts w:ascii="Times New Roman" w:hAnsi="Times New Roman" w:cs="Times New Roman"/>
        </w:rPr>
        <w:t>. Unless noted otherwise, we therefore used winter (NDJFM) values of the PDO, NPGO, and SST in analysis.</w:t>
      </w:r>
    </w:p>
    <w:p w14:paraId="40484F60" w14:textId="5E78C163" w:rsidR="0062241F" w:rsidRDefault="003E2AD2" w:rsidP="00A13BA5">
      <w:pPr>
        <w:spacing w:line="360" w:lineRule="auto"/>
        <w:ind w:firstLine="720"/>
        <w:rPr>
          <w:rFonts w:ascii="Times New Roman" w:hAnsi="Times New Roman" w:cs="Times New Roman"/>
        </w:rPr>
      </w:pPr>
      <w:r>
        <w:rPr>
          <w:rFonts w:ascii="Times New Roman" w:hAnsi="Times New Roman" w:cs="Times New Roman"/>
        </w:rPr>
        <w:t>SLP</w:t>
      </w:r>
      <w:r w:rsidR="006F52BC">
        <w:rPr>
          <w:rFonts w:ascii="Times New Roman" w:hAnsi="Times New Roman" w:cs="Times New Roman"/>
        </w:rPr>
        <w:t>a</w:t>
      </w:r>
      <w:r>
        <w:rPr>
          <w:rFonts w:ascii="Times New Roman" w:hAnsi="Times New Roman" w:cs="Times New Roman"/>
        </w:rPr>
        <w:t>-PDO r</w:t>
      </w:r>
      <w:r w:rsidRPr="009314B4">
        <w:rPr>
          <w:rFonts w:ascii="Times New Roman" w:hAnsi="Times New Roman" w:cs="Times New Roman"/>
        </w:rPr>
        <w:t xml:space="preserve">egressions were calculated with the </w:t>
      </w:r>
      <w:r w:rsidR="009D33AC">
        <w:rPr>
          <w:rFonts w:ascii="Times New Roman" w:hAnsi="Times New Roman" w:cs="Times New Roman"/>
        </w:rPr>
        <w:t>November to January</w:t>
      </w:r>
      <w:r w:rsidR="00CE116A">
        <w:rPr>
          <w:rFonts w:ascii="Times New Roman" w:hAnsi="Times New Roman" w:cs="Times New Roman"/>
        </w:rPr>
        <w:t xml:space="preserve"> (NDJ)</w:t>
      </w:r>
      <w:r w:rsidR="006F52BC">
        <w:rPr>
          <w:rFonts w:ascii="Times New Roman" w:hAnsi="Times New Roman" w:cs="Times New Roman"/>
        </w:rPr>
        <w:t xml:space="preserve"> mean of SLPa values </w:t>
      </w:r>
      <w:r w:rsidRPr="009314B4">
        <w:rPr>
          <w:rFonts w:ascii="Times New Roman" w:hAnsi="Times New Roman" w:cs="Times New Roman"/>
        </w:rPr>
        <w:t xml:space="preserve">and </w:t>
      </w:r>
      <w:r w:rsidR="009D33AC">
        <w:rPr>
          <w:rFonts w:ascii="Times New Roman" w:hAnsi="Times New Roman" w:cs="Times New Roman"/>
        </w:rPr>
        <w:t xml:space="preserve">February to </w:t>
      </w:r>
      <w:r w:rsidR="00032692">
        <w:rPr>
          <w:rFonts w:ascii="Times New Roman" w:hAnsi="Times New Roman" w:cs="Times New Roman"/>
        </w:rPr>
        <w:t>April</w:t>
      </w:r>
      <w:r w:rsidR="00CE116A">
        <w:rPr>
          <w:rFonts w:ascii="Times New Roman" w:hAnsi="Times New Roman" w:cs="Times New Roman"/>
        </w:rPr>
        <w:t xml:space="preserve"> (</w:t>
      </w:r>
      <w:r w:rsidRPr="009314B4">
        <w:rPr>
          <w:rFonts w:ascii="Times New Roman" w:hAnsi="Times New Roman" w:cs="Times New Roman"/>
        </w:rPr>
        <w:t>FMA</w:t>
      </w:r>
      <w:r w:rsidR="00CE116A">
        <w:rPr>
          <w:rFonts w:ascii="Times New Roman" w:hAnsi="Times New Roman" w:cs="Times New Roman"/>
        </w:rPr>
        <w:t>)</w:t>
      </w:r>
      <w:r w:rsidRPr="009314B4">
        <w:rPr>
          <w:rFonts w:ascii="Times New Roman" w:hAnsi="Times New Roman" w:cs="Times New Roman"/>
        </w:rPr>
        <w:t xml:space="preserve"> values of the PDO Index</w:t>
      </w:r>
      <w:r>
        <w:rPr>
          <w:rFonts w:ascii="Times New Roman" w:hAnsi="Times New Roman" w:cs="Times New Roman"/>
        </w:rPr>
        <w:t xml:space="preserve">, to account for the temporal lag in the effects of atmospheric variability on ocean climate </w:t>
      </w:r>
      <w:r>
        <w:rPr>
          <w:rFonts w:ascii="Times New Roman" w:hAnsi="Times New Roman" w:cs="Times New Roman"/>
        </w:rPr>
        <w:fldChar w:fldCharType="begin" w:fldLock="1"/>
      </w:r>
      <w:r w:rsidR="00CE116A">
        <w:rPr>
          <w:rFonts w:ascii="Times New Roman" w:hAnsi="Times New Roman" w:cs="Times New Roman"/>
        </w:rPr>
        <w:instrText>ADDIN CSL_CITATION {"citationItems":[{"id":"ITEM-1","itemData":{"DOI":"10.1175/JCLI-D-15-0508.1","author":[{"dropping-particle":"","family":"Newman","given":"M","non-dropping-particle":"","parse-names":false,"suffix":""},{"dropping-particle":"","family":"Alexander","given":"M A","non-dropping-particle":"","parse-names":false,"suffix":""},{"dropping-particle":"","family":"Ault","given":"T R","non-dropping-particle":"","parse-names":false,"suffix":""},{"dropping-particle":"","family":"Cobb","given":"K M","non-dropping-particle":"","parse-names":false,"suffix":""},{"dropping-particle":"","family":"Deser","given":"C","non-dropping-particle":"","parse-names":false,"suffix":""},{"dropping-particle":"","family":"Lorenzo","given":"E","non-dropping-particle":"Di","parse-names":false,"suffix":""},{"dropping-particle":"","family":"Mantua","given":"N J","non-dropping-particle":"","parse-names":false,"suffix":""},{"dropping-particle":"","family":"Miller","given":"A J","non-dropping-particle":"","parse-names":false,"suffix":""},{"dropping-particle":"","family":"Minobe","given":"S","non-dropping-particle":"","parse-names":false,"suffix":""},{"dropping-particle":"","family":"Nakamura","given":"H","non-dropping-particle":"","parse-names":false,"suffix":""},{"dropping-particle":"","family":"Schneider","given":"N","non-dropping-particle":"","parse-names":false,"suffix":""},{"dropping-particle":"","family":"Vimont","given":"D J","non-dropping-particle":"","parse-names":false,"suffix":""},{"dropping-particle":"","family":"Phillips","given":"A S","non-dropping-particle":"","parse-names":false,"suffix":""},{"dropping-particle":"","family":"Scott","given":"J D","non-dropping-particle":"","parse-names":false,"suffix":""},{"dropping-particle":"","family":"Smith","given":"C A","non-dropping-particle":"","parse-names":false,"suffix":""}],"container-title":"Journal of Climate","id":"ITEM-1","issued":{"date-parts":[["2016"]]},"page":"4399-4427","title":"The Pacific Decadal Oscillation, revisited","type":"article-journal","volume":"29"},"uris":["http://www.mendeley.com/documents/?uuid=afae8f10-7702-41e6-b782-00eea6732cf7"]}],"mendeley":{"formattedCitation":"[5]","plainTextFormattedCitation":"[5]","previouslyFormattedCitation":"[5]"},"properties":{"noteIndex":0},"schema":"https://github.com/citation-style-language/schema/raw/master/csl-citation.json"}</w:instrText>
      </w:r>
      <w:r>
        <w:rPr>
          <w:rFonts w:ascii="Times New Roman" w:hAnsi="Times New Roman" w:cs="Times New Roman"/>
        </w:rPr>
        <w:fldChar w:fldCharType="separate"/>
      </w:r>
      <w:r w:rsidR="003870BD" w:rsidRPr="003870BD">
        <w:rPr>
          <w:rFonts w:ascii="Times New Roman" w:hAnsi="Times New Roman" w:cs="Times New Roman"/>
          <w:noProof/>
        </w:rPr>
        <w:t>[5]</w:t>
      </w:r>
      <w:r>
        <w:rPr>
          <w:rFonts w:ascii="Times New Roman" w:hAnsi="Times New Roman" w:cs="Times New Roman"/>
        </w:rPr>
        <w:fldChar w:fldCharType="end"/>
      </w:r>
      <w:r w:rsidRPr="009314B4">
        <w:rPr>
          <w:rFonts w:ascii="Times New Roman" w:hAnsi="Times New Roman" w:cs="Times New Roman"/>
        </w:rPr>
        <w:t>.</w:t>
      </w:r>
      <w:r w:rsidR="0062241F">
        <w:rPr>
          <w:rFonts w:ascii="Times New Roman" w:hAnsi="Times New Roman" w:cs="Times New Roman"/>
        </w:rPr>
        <w:t xml:space="preserve"> Wind stress-PDO regressions </w:t>
      </w:r>
      <w:r w:rsidR="0062241F" w:rsidRPr="009314B4">
        <w:rPr>
          <w:rFonts w:ascii="Times New Roman" w:hAnsi="Times New Roman" w:cs="Times New Roman"/>
        </w:rPr>
        <w:t xml:space="preserve">also </w:t>
      </w:r>
      <w:r w:rsidR="0062241F">
        <w:rPr>
          <w:rFonts w:ascii="Times New Roman" w:hAnsi="Times New Roman" w:cs="Times New Roman"/>
        </w:rPr>
        <w:t>used</w:t>
      </w:r>
      <w:r w:rsidR="0062241F" w:rsidRPr="009314B4">
        <w:rPr>
          <w:rFonts w:ascii="Times New Roman" w:hAnsi="Times New Roman" w:cs="Times New Roman"/>
        </w:rPr>
        <w:t xml:space="preserve"> NDJ</w:t>
      </w:r>
      <w:r w:rsidR="009D33AC">
        <w:rPr>
          <w:rFonts w:ascii="Times New Roman" w:hAnsi="Times New Roman" w:cs="Times New Roman"/>
        </w:rPr>
        <w:t xml:space="preserve"> monthly</w:t>
      </w:r>
      <w:r w:rsidR="0062241F" w:rsidRPr="009314B4">
        <w:rPr>
          <w:rFonts w:ascii="Times New Roman" w:hAnsi="Times New Roman" w:cs="Times New Roman"/>
        </w:rPr>
        <w:t xml:space="preserve"> wind stress data and FMA PDO values. T</w:t>
      </w:r>
      <w:r w:rsidR="0062241F">
        <w:rPr>
          <w:rFonts w:ascii="Times New Roman" w:hAnsi="Times New Roman" w:cs="Times New Roman"/>
        </w:rPr>
        <w:t>o derive a regression of both zonal (u-) and meridional (v-) wind stress on the PDO we first calculated individual regression coefficients for the u- and v-fields. P</w:t>
      </w:r>
      <w:r w:rsidR="0062241F" w:rsidRPr="009314B4">
        <w:rPr>
          <w:rFonts w:ascii="Times New Roman" w:hAnsi="Times New Roman" w:cs="Times New Roman"/>
        </w:rPr>
        <w:t xml:space="preserve">lotted values </w:t>
      </w:r>
      <w:r w:rsidR="007304CF">
        <w:rPr>
          <w:rFonts w:ascii="Times New Roman" w:hAnsi="Times New Roman" w:cs="Times New Roman"/>
        </w:rPr>
        <w:t xml:space="preserve">in Fig. </w:t>
      </w:r>
      <w:r w:rsidR="00101F9D">
        <w:rPr>
          <w:rFonts w:ascii="Times New Roman" w:hAnsi="Times New Roman" w:cs="Times New Roman"/>
        </w:rPr>
        <w:t xml:space="preserve">1e,f </w:t>
      </w:r>
      <w:r w:rsidR="0062241F" w:rsidRPr="009314B4">
        <w:rPr>
          <w:rFonts w:ascii="Times New Roman" w:hAnsi="Times New Roman" w:cs="Times New Roman"/>
        </w:rPr>
        <w:t>were</w:t>
      </w:r>
      <w:r w:rsidR="0062241F">
        <w:rPr>
          <w:rFonts w:ascii="Times New Roman" w:hAnsi="Times New Roman" w:cs="Times New Roman"/>
        </w:rPr>
        <w:t xml:space="preserve"> then</w:t>
      </w:r>
      <w:r w:rsidR="0062241F" w:rsidRPr="009314B4">
        <w:rPr>
          <w:rFonts w:ascii="Times New Roman" w:hAnsi="Times New Roman" w:cs="Times New Roman"/>
        </w:rPr>
        <w:t xml:space="preserve"> calculated as the </w:t>
      </w:r>
      <w:r w:rsidR="009D33AC">
        <w:rPr>
          <w:rFonts w:ascii="Times New Roman" w:hAnsi="Times New Roman" w:cs="Times New Roman"/>
        </w:rPr>
        <w:t xml:space="preserve">vector combination </w:t>
      </w:r>
      <w:r w:rsidR="0062241F">
        <w:rPr>
          <w:rFonts w:ascii="Times New Roman" w:hAnsi="Times New Roman" w:cs="Times New Roman"/>
        </w:rPr>
        <w:t xml:space="preserve">of these coefficients, i.e., the </w:t>
      </w:r>
      <w:r w:rsidR="009D33AC">
        <w:rPr>
          <w:rFonts w:ascii="Times New Roman" w:hAnsi="Times New Roman" w:cs="Times New Roman"/>
        </w:rPr>
        <w:t>hypotenuse</w:t>
      </w:r>
      <w:r w:rsidR="00101F9D">
        <w:rPr>
          <w:rFonts w:ascii="Times New Roman" w:hAnsi="Times New Roman" w:cs="Times New Roman"/>
        </w:rPr>
        <w:t xml:space="preserve"> calculated as </w:t>
      </w:r>
      <w:r w:rsidR="009D33AC">
        <w:rPr>
          <w:rFonts w:ascii="Times New Roman" w:hAnsi="Times New Roman" w:cs="Times New Roman"/>
        </w:rPr>
        <w:t xml:space="preserve">the </w:t>
      </w:r>
      <w:r w:rsidR="0062241F">
        <w:rPr>
          <w:rFonts w:ascii="Times New Roman" w:hAnsi="Times New Roman" w:cs="Times New Roman"/>
        </w:rPr>
        <w:t>square root of the sum of the u- and v</w:t>
      </w:r>
      <w:r w:rsidR="0062241F" w:rsidRPr="009314B4">
        <w:rPr>
          <w:rFonts w:ascii="Times New Roman" w:hAnsi="Times New Roman" w:cs="Times New Roman"/>
        </w:rPr>
        <w:t xml:space="preserve">- wind stress regression coefficients squared. Significance </w:t>
      </w:r>
      <w:r w:rsidR="0062241F">
        <w:rPr>
          <w:rFonts w:ascii="Times New Roman" w:hAnsi="Times New Roman" w:cs="Times New Roman"/>
        </w:rPr>
        <w:t>tests</w:t>
      </w:r>
      <w:r w:rsidR="0062241F" w:rsidRPr="009314B4">
        <w:rPr>
          <w:rFonts w:ascii="Times New Roman" w:hAnsi="Times New Roman" w:cs="Times New Roman"/>
        </w:rPr>
        <w:t xml:space="preserve"> f</w:t>
      </w:r>
      <w:r w:rsidR="0062241F">
        <w:rPr>
          <w:rFonts w:ascii="Times New Roman" w:hAnsi="Times New Roman" w:cs="Times New Roman"/>
        </w:rPr>
        <w:t>or these relationships</w:t>
      </w:r>
      <w:r w:rsidR="0062241F" w:rsidRPr="009314B4">
        <w:rPr>
          <w:rFonts w:ascii="Times New Roman" w:hAnsi="Times New Roman" w:cs="Times New Roman"/>
        </w:rPr>
        <w:t xml:space="preserve"> were based on</w:t>
      </w:r>
      <w:r w:rsidR="0062241F">
        <w:rPr>
          <w:rFonts w:ascii="Times New Roman" w:hAnsi="Times New Roman" w:cs="Times New Roman"/>
        </w:rPr>
        <w:t xml:space="preserve"> regression models fit to u- and v</w:t>
      </w:r>
      <w:r w:rsidR="0062241F" w:rsidRPr="009314B4">
        <w:rPr>
          <w:rFonts w:ascii="Times New Roman" w:hAnsi="Times New Roman" w:cs="Times New Roman"/>
        </w:rPr>
        <w:t>- wind stress for each cell in the data. These models invoked era (</w:t>
      </w:r>
      <w:r w:rsidR="00FA67E2">
        <w:rPr>
          <w:rFonts w:ascii="Times New Roman" w:hAnsi="Times New Roman" w:cs="Times New Roman"/>
        </w:rPr>
        <w:t>1950-1988 vs. 1989-2012</w:t>
      </w:r>
      <w:r w:rsidR="0062241F" w:rsidRPr="009314B4">
        <w:rPr>
          <w:rFonts w:ascii="Times New Roman" w:hAnsi="Times New Roman" w:cs="Times New Roman"/>
        </w:rPr>
        <w:t xml:space="preserve">) and PDO main effects in addition to the era x PDO interaction </w:t>
      </w:r>
      <w:r w:rsidR="00101F9D">
        <w:rPr>
          <w:rFonts w:ascii="Times New Roman" w:hAnsi="Times New Roman" w:cs="Times New Roman"/>
        </w:rPr>
        <w:t>effect</w:t>
      </w:r>
      <w:r w:rsidR="0062241F" w:rsidRPr="009314B4">
        <w:rPr>
          <w:rFonts w:ascii="Times New Roman" w:hAnsi="Times New Roman" w:cs="Times New Roman"/>
        </w:rPr>
        <w:t>, and were fit with generalized least squares methods allowing for autocorrelated residuals</w:t>
      </w:r>
      <w:r w:rsidR="0062241F">
        <w:rPr>
          <w:rFonts w:ascii="Times New Roman" w:hAnsi="Times New Roman" w:cs="Times New Roman"/>
        </w:rPr>
        <w:t xml:space="preserve"> </w:t>
      </w:r>
      <w:r w:rsidR="0062241F" w:rsidRPr="009314B4">
        <w:rPr>
          <w:rFonts w:ascii="Times New Roman" w:hAnsi="Times New Roman" w:cs="Times New Roman"/>
        </w:rPr>
        <w:fldChar w:fldCharType="begin" w:fldLock="1"/>
      </w:r>
      <w:r w:rsidR="00CE116A">
        <w:rPr>
          <w:rFonts w:ascii="Times New Roman" w:hAnsi="Times New Roman" w:cs="Times New Roman"/>
        </w:rPr>
        <w:instrText>ADDIN CSL_CITATION {"citationItems":[{"id":"ITEM-1","itemData":{"author":[{"dropping-particle":"","family":"Pinheiro","given":"J C","non-dropping-particle":"","parse-names":false,"suffix":""},{"dropping-particle":"","family":"Bates","given":"D M","non-dropping-particle":"","parse-names":false,"suffix":""}],"id":"ITEM-1","issued":{"date-parts":[["2000"]]},"number-of-pages":"528","publisher":"Springer","publisher-place":"New York","title":"Mixed-Effects Models in S and S-PLUS","type":"book"},"uris":["http://www.mendeley.com/documents/?uuid=fc4485f8-810b-478c-9df4-e1e50ff31ef6"]}],"mendeley":{"formattedCitation":"[6]","plainTextFormattedCitation":"[6]","previouslyFormattedCitation":"[6]"},"properties":{"noteIndex":0},"schema":"https://github.com/citation-style-language/schema/raw/master/csl-citation.json"}</w:instrText>
      </w:r>
      <w:r w:rsidR="0062241F" w:rsidRPr="009314B4">
        <w:rPr>
          <w:rFonts w:ascii="Times New Roman" w:hAnsi="Times New Roman" w:cs="Times New Roman"/>
        </w:rPr>
        <w:fldChar w:fldCharType="separate"/>
      </w:r>
      <w:r w:rsidR="003870BD" w:rsidRPr="003870BD">
        <w:rPr>
          <w:rFonts w:ascii="Times New Roman" w:hAnsi="Times New Roman" w:cs="Times New Roman"/>
          <w:noProof/>
        </w:rPr>
        <w:t>[6]</w:t>
      </w:r>
      <w:r w:rsidR="0062241F" w:rsidRPr="009314B4">
        <w:rPr>
          <w:rFonts w:ascii="Times New Roman" w:hAnsi="Times New Roman" w:cs="Times New Roman"/>
        </w:rPr>
        <w:fldChar w:fldCharType="end"/>
      </w:r>
      <w:r w:rsidR="0062241F" w:rsidRPr="009314B4">
        <w:rPr>
          <w:rFonts w:ascii="Times New Roman" w:hAnsi="Times New Roman" w:cs="Times New Roman"/>
        </w:rPr>
        <w:t>. These models did not account for spatial dependence or multiple hypothesis testing.</w:t>
      </w:r>
    </w:p>
    <w:p w14:paraId="3119F602" w14:textId="599FDF63" w:rsidR="0059575E" w:rsidRDefault="0059575E" w:rsidP="00A13BA5">
      <w:pPr>
        <w:spacing w:line="360" w:lineRule="auto"/>
        <w:ind w:firstLine="720"/>
        <w:rPr>
          <w:rFonts w:ascii="Times New Roman" w:hAnsi="Times New Roman" w:cs="Times New Roman"/>
        </w:rPr>
      </w:pPr>
      <w:r>
        <w:rPr>
          <w:rFonts w:ascii="Times New Roman" w:hAnsi="Times New Roman" w:cs="Times New Roman"/>
        </w:rPr>
        <w:t xml:space="preserve">Changing variance was calculated with the </w:t>
      </w:r>
      <w:r w:rsidR="00101F9D">
        <w:rPr>
          <w:rFonts w:ascii="Times New Roman" w:hAnsi="Times New Roman" w:cs="Times New Roman"/>
        </w:rPr>
        <w:t xml:space="preserve">standard deviation </w:t>
      </w:r>
      <w:r>
        <w:rPr>
          <w:rFonts w:ascii="Times New Roman" w:hAnsi="Times New Roman" w:cs="Times New Roman"/>
        </w:rPr>
        <w:t>of SLPa in the Aleutian Low area on 11-year rolling windows. A relatively short window length was again selected to allow the timing of change to be identified relatively precisely; similar results were also obtained with 15- and 21-year windows (not shown). Additionally, o</w:t>
      </w:r>
      <w:r w:rsidRPr="009314B4">
        <w:rPr>
          <w:rFonts w:ascii="Times New Roman" w:hAnsi="Times New Roman" w:cs="Times New Roman"/>
        </w:rPr>
        <w:t>cean climate reacts to atmospheric variability over time scales characterized by a decorrelation scale driven by ocean memory</w:t>
      </w:r>
      <w:r>
        <w:rPr>
          <w:rFonts w:ascii="Times New Roman" w:hAnsi="Times New Roman" w:cs="Times New Roman"/>
        </w:rPr>
        <w:t xml:space="preserve"> </w:t>
      </w:r>
      <w:r>
        <w:rPr>
          <w:rFonts w:ascii="Times New Roman" w:hAnsi="Times New Roman" w:cs="Times New Roman"/>
        </w:rPr>
        <w:fldChar w:fldCharType="begin" w:fldLock="1"/>
      </w:r>
      <w:r w:rsidR="00CE116A">
        <w:rPr>
          <w:rFonts w:ascii="Times New Roman" w:hAnsi="Times New Roman" w:cs="Times New Roman"/>
        </w:rPr>
        <w:instrText>ADDIN CSL_CITATION {"citationItems":[{"id":"ITEM-1","itemData":{"DOI":"10.1007/bf00204745","ISBN":"0930-7575","abstract":"Considerable evidence has emerged of a substantial decade-long change in the north Pacific atmosphere and ocean lasting from about 1976 to 1988. Observed significant changes in the atmospheric circulation throughout the troposphere revealed a deeper and eastward shifted Aleutian low pressure system in the winter half year which advected warmer and moister air along the west coast of North America and into Alaska and colder air over the north Pacific. Consequently, there were increases in temperatures and sea surface temperatures (SSTs) along the west coast of North America and Alaska but decreases in SSTs over the central north Pacific, as well as changes in coastal rainfall and streamflow, and decreases in sea ice in the Bering Sea. Associated changes occurred in the surface wind stress, and, by inference, in the Sverdrup transport in the north Pacific Ocean. Changes in the monthly mean flow were accompanied by a southward shift in the storm tracks and associated synoptic eddy activity and in the surface ocean sensible and latent heat fluxes. In addition to the changes in the physical environment, the deeper Aleutian low increased the nutrient supply as seen through increases in total chlorophyll in the water column, phytoplankton and zooplankton. These changes, along with the altered ocean currents and temperatures, changed the migration patterns and increased the stock of many fish species. A north Pacific (NP) index is defined to measure the decadal variations, and the temporal variability of the index is explored on daily, annual, interannual and decadal time scales. The dominant atmosphere-ocean relation in the north Pacific is one where atmospheric changes lead SSTs by one to two months. However, strong ties are revealed with events in the tropical Pacific, with changes in tropical Pacific SSFs leading SSTs in the north Pacific by three months. Changes in the storm tracks in the north Pacific help to reinforce and maintain the anomalous circulation in the upper troposphere. A hypothesis is put forward outlining the tropical and extratropical realtionships which stresses the role of tropical forcing but with important feedbacks in the extratropics that serve to emphasize the decadal relative to interannual time scales. The Pacific decadal timescale variations are linked to recent changes in the frequency and intensity of El Nino versus La Nina events but whether climate change associated with ''global warming'' is a factor is an open question.","author":[{"dropping-particle":"","family":"Trenberth","given":"K E","non-dropping-particle":"","parse-names":false,"suffix":""},{"dropping-particle":"","family":"Hurrell","given":"J W","non-dropping-particle":"","parse-names":false,"suffix":""}],"container-title":"Climate Dynamics","id":"ITEM-1","issue":"6","issued":{"date-parts":[["1994"]]},"note":"Times Cited: 1125\nTrenberth, ke hurrell, jw","page":"303-319","title":"Decadal atmosphere-ocean variations in the Pacific","type":"article-journal","volume":"9"},"uris":["http://www.mendeley.com/documents/?uuid=66bc6f18-91ac-4d46-9ac2-ea51418df39c"]},{"id":"ITEM-2","itemData":{"author":[{"dropping-particle":"","family":"Lorenzo","given":"E","non-dropping-particle":"Di","parse-names":false,"suffix":""},{"dropping-particle":"","family":"Ohman","given":"M D","non-dropping-particle":"","parse-names":false,"suffix":""}],"container-title":"Proceedings of the National Academy of Sciences","id":"ITEM-2","issued":{"date-parts":[["2013"]]},"page":"2496-2499","title":"A double-integration hypothesis to explain ocean ecosystem response to climate forcing","type":"article-journal","volume":"110"},"uris":["http://www.mendeley.com/documents/?uuid=e05089bd-c193-4c05-ba05-bb1a4e4429c6"]}],"mendeley":{"formattedCitation":"[7,8]","plainTextFormattedCitation":"[7,8]","previouslyFormattedCitation":"[7,8]"},"properties":{"noteIndex":0},"schema":"https://github.com/citation-style-language/schema/raw/master/csl-citation.json"}</w:instrText>
      </w:r>
      <w:r>
        <w:rPr>
          <w:rFonts w:ascii="Times New Roman" w:hAnsi="Times New Roman" w:cs="Times New Roman"/>
        </w:rPr>
        <w:fldChar w:fldCharType="separate"/>
      </w:r>
      <w:r w:rsidR="003870BD" w:rsidRPr="003870BD">
        <w:rPr>
          <w:rFonts w:ascii="Times New Roman" w:hAnsi="Times New Roman" w:cs="Times New Roman"/>
          <w:noProof/>
        </w:rPr>
        <w:t>[7,8]</w:t>
      </w:r>
      <w:r>
        <w:rPr>
          <w:rFonts w:ascii="Times New Roman" w:hAnsi="Times New Roman" w:cs="Times New Roman"/>
        </w:rPr>
        <w:fldChar w:fldCharType="end"/>
      </w:r>
      <w:r w:rsidRPr="009314B4">
        <w:rPr>
          <w:rFonts w:ascii="Times New Roman" w:hAnsi="Times New Roman" w:cs="Times New Roman"/>
        </w:rPr>
        <w:t>. To account for this dynamic, we calculated changes i</w:t>
      </w:r>
      <w:r>
        <w:rPr>
          <w:rFonts w:ascii="Times New Roman" w:hAnsi="Times New Roman" w:cs="Times New Roman"/>
        </w:rPr>
        <w:t>n Aleutian Low variance</w:t>
      </w:r>
      <w:r w:rsidRPr="009314B4">
        <w:rPr>
          <w:rFonts w:ascii="Times New Roman" w:hAnsi="Times New Roman" w:cs="Times New Roman"/>
        </w:rPr>
        <w:t xml:space="preserve"> and correlations with Gulf of Alaska e</w:t>
      </w:r>
      <w:r>
        <w:rPr>
          <w:rFonts w:ascii="Times New Roman" w:hAnsi="Times New Roman" w:cs="Times New Roman"/>
        </w:rPr>
        <w:t>nvironmental processes</w:t>
      </w:r>
      <w:r w:rsidRPr="009314B4">
        <w:rPr>
          <w:rFonts w:ascii="Times New Roman" w:hAnsi="Times New Roman" w:cs="Times New Roman"/>
        </w:rPr>
        <w:t xml:space="preserve"> using SLPa data that had been smoothed with an 11-mo</w:t>
      </w:r>
      <w:r>
        <w:rPr>
          <w:rFonts w:ascii="Times New Roman" w:hAnsi="Times New Roman" w:cs="Times New Roman"/>
        </w:rPr>
        <w:t>nth</w:t>
      </w:r>
      <w:r w:rsidRPr="009314B4">
        <w:rPr>
          <w:rFonts w:ascii="Times New Roman" w:hAnsi="Times New Roman" w:cs="Times New Roman"/>
        </w:rPr>
        <w:t xml:space="preserve"> running mean</w:t>
      </w:r>
      <w:r>
        <w:rPr>
          <w:rFonts w:ascii="Times New Roman" w:hAnsi="Times New Roman" w:cs="Times New Roman"/>
        </w:rPr>
        <w:t xml:space="preserve"> </w:t>
      </w:r>
      <w:r w:rsidRPr="009314B4">
        <w:rPr>
          <w:rFonts w:ascii="Times New Roman" w:hAnsi="Times New Roman" w:cs="Times New Roman"/>
        </w:rPr>
        <w:fldChar w:fldCharType="begin" w:fldLock="1"/>
      </w:r>
      <w:r w:rsidR="00CE116A">
        <w:rPr>
          <w:rFonts w:ascii="Times New Roman" w:hAnsi="Times New Roman" w:cs="Times New Roman"/>
        </w:rPr>
        <w:instrText>ADDIN CSL_CITATION {"citationItems":[{"id":"ITEM-1","itemData":{"DOI":"10.1073/pnas.1318371111","author":[{"dropping-particle":"","family":"Johnstone","given":"J A","non-dropping-particle":"","parse-names":false,"suffix":""},{"dropping-particle":"","family":"Mantua","given":"N","non-dropping-particle":"","parse-names":false,"suffix":""}],"container-title":"Proceedings of the National Academy of Sciences","id":"ITEM-1","issued":{"date-parts":[["2014"]]},"page":"14360-14365","title":"Atmospheric controls on northeast Pacific temperature variability and change, 1900-2012","type":"article-journal","volume":"111"},"uris":["http://www.mendeley.com/documents/?uuid=9e58a44a-e2ab-4beb-8c58-f90cdf05b6e7"]}],"mendeley":{"formattedCitation":"[9]","plainTextFormattedCitation":"[9]","previouslyFormattedCitation":"[9]"},"properties":{"noteIndex":0},"schema":"https://github.com/citation-style-language/schema/raw/master/csl-citation.json"}</w:instrText>
      </w:r>
      <w:r w:rsidRPr="009314B4">
        <w:rPr>
          <w:rFonts w:ascii="Times New Roman" w:hAnsi="Times New Roman" w:cs="Times New Roman"/>
        </w:rPr>
        <w:fldChar w:fldCharType="separate"/>
      </w:r>
      <w:r w:rsidR="003870BD" w:rsidRPr="003870BD">
        <w:rPr>
          <w:rFonts w:ascii="Times New Roman" w:hAnsi="Times New Roman" w:cs="Times New Roman"/>
          <w:noProof/>
        </w:rPr>
        <w:t>[9]</w:t>
      </w:r>
      <w:r w:rsidRPr="009314B4">
        <w:rPr>
          <w:rFonts w:ascii="Times New Roman" w:hAnsi="Times New Roman" w:cs="Times New Roman"/>
        </w:rPr>
        <w:fldChar w:fldCharType="end"/>
      </w:r>
      <w:r w:rsidRPr="009314B4">
        <w:rPr>
          <w:rFonts w:ascii="Times New Roman" w:hAnsi="Times New Roman" w:cs="Times New Roman"/>
        </w:rPr>
        <w:t>. Similar results were obtained with SLPa data at other smoothings (5-15 mo</w:t>
      </w:r>
      <w:r>
        <w:rPr>
          <w:rFonts w:ascii="Times New Roman" w:hAnsi="Times New Roman" w:cs="Times New Roman"/>
        </w:rPr>
        <w:t>nth</w:t>
      </w:r>
      <w:r w:rsidRPr="009314B4">
        <w:rPr>
          <w:rFonts w:ascii="Times New Roman" w:hAnsi="Times New Roman" w:cs="Times New Roman"/>
        </w:rPr>
        <w:t xml:space="preserve"> running means, results not shown).</w:t>
      </w:r>
      <w:r>
        <w:rPr>
          <w:rFonts w:ascii="Times New Roman" w:hAnsi="Times New Roman" w:cs="Times New Roman"/>
        </w:rPr>
        <w:t xml:space="preserve"> </w:t>
      </w:r>
      <w:r w:rsidRPr="009314B4">
        <w:rPr>
          <w:rFonts w:ascii="Times New Roman" w:hAnsi="Times New Roman" w:cs="Times New Roman"/>
        </w:rPr>
        <w:t xml:space="preserve">The North Pacific Index, a common measure of Aleutian Low behavior, is </w:t>
      </w:r>
      <w:r w:rsidR="00B26B79">
        <w:rPr>
          <w:rFonts w:ascii="Times New Roman" w:hAnsi="Times New Roman" w:cs="Times New Roman"/>
        </w:rPr>
        <w:t>the area-weighted</w:t>
      </w:r>
      <w:r w:rsidRPr="009314B4">
        <w:rPr>
          <w:rFonts w:ascii="Times New Roman" w:hAnsi="Times New Roman" w:cs="Times New Roman"/>
        </w:rPr>
        <w:t xml:space="preserve"> SLP </w:t>
      </w:r>
      <w:r w:rsidR="00B26B79">
        <w:rPr>
          <w:rFonts w:ascii="Times New Roman" w:hAnsi="Times New Roman" w:cs="Times New Roman"/>
        </w:rPr>
        <w:t>over much of the North Pacific basin</w:t>
      </w:r>
      <w:r w:rsidR="00B26B79" w:rsidRPr="009314B4">
        <w:rPr>
          <w:rFonts w:ascii="Times New Roman" w:hAnsi="Times New Roman" w:cs="Times New Roman"/>
        </w:rPr>
        <w:t xml:space="preserve"> </w:t>
      </w:r>
      <w:r w:rsidR="00CE116A">
        <w:rPr>
          <w:rFonts w:ascii="Times New Roman" w:hAnsi="Times New Roman" w:cs="Times New Roman"/>
        </w:rPr>
        <w:t>(30º-65ºN, 160ºE-140ºW</w:t>
      </w:r>
      <w:r w:rsidR="00CE116A" w:rsidRPr="00CE116A">
        <w:rPr>
          <w:rFonts w:ascii="Times New Roman" w:hAnsi="Times New Roman" w:cs="Times New Roman"/>
        </w:rPr>
        <w:t xml:space="preserve"> </w:t>
      </w:r>
      <w:r>
        <w:rPr>
          <w:rFonts w:ascii="Times New Roman" w:hAnsi="Times New Roman" w:cs="Times New Roman"/>
        </w:rPr>
        <w:fldChar w:fldCharType="begin" w:fldLock="1"/>
      </w:r>
      <w:r w:rsidR="00FE6E8C">
        <w:rPr>
          <w:rFonts w:ascii="Times New Roman" w:hAnsi="Times New Roman" w:cs="Times New Roman"/>
        </w:rPr>
        <w:instrText>ADDIN CSL_CITATION {"citationItems":[{"id":"ITEM-1","itemData":{"DOI":"10.1007/bf00204745","ISBN":"0930-7575","abstract":"Considerable evidence has emerged of a substantial decade-long change in the north Pacific atmosphere and ocean lasting from about 1976 to 1988. Observed significant changes in the atmospheric circulation throughout the troposphere revealed a deeper and eastward shifted Aleutian low pressure system in the winter half year which advected warmer and moister air along the west coast of North America and into Alaska and colder air over the north Pacific. Consequently, there were increases in temperatures and sea surface temperatures (SSTs) along the west coast of North America and Alaska but decreases in SSTs over the central north Pacific, as well as changes in coastal rainfall and streamflow, and decreases in sea ice in the Bering Sea. Associated changes occurred in the surface wind stress, and, by inference, in the Sverdrup transport in the north Pacific Ocean. Changes in the monthly mean flow were accompanied by a southward shift in the storm tracks and associated synoptic eddy activity and in the surface ocean sensible and latent heat fluxes. In addition to the changes in the physical environment, the deeper Aleutian low increased the nutrient supply as seen through increases in total chlorophyll in the water column, phytoplankton and zooplankton. These changes, along with the altered ocean currents and temperatures, changed the migration patterns and increased the stock of many fish species. A north Pacific (NP) index is defined to measure the decadal variations, and the temporal variability of the index is explored on daily, annual, interannual and decadal time scales. The dominant atmosphere-ocean relation in the north Pacific is one where atmospheric changes lead SSTs by one to two months. However, strong ties are revealed with events in the tropical Pacific, with changes in tropical Pacific SSFs leading SSTs in the north Pacific by three months. Changes in the storm tracks in the north Pacific help to reinforce and maintain the anomalous circulation in the upper troposphere. A hypothesis is put forward outlining the tropical and extratropical realtionships which stresses the role of tropical forcing but with important feedbacks in the extratropics that serve to emphasize the decadal relative to interannual time scales. The Pacific decadal timescale variations are linked to recent changes in the frequency and intensity of El Nino versus La Nina events but whether climate change associated with ''global warming'' is a factor is an open question.","author":[{"dropping-particle":"","family":"Trenberth","given":"K E","non-dropping-particle":"","parse-names":false,"suffix":""},{"dropping-particle":"","family":"Hurrell","given":"J W","non-dropping-particle":"","parse-names":false,"suffix":""}],"container-title":"Climate Dynamics","id":"ITEM-1","issue":"6","issued":{"date-parts":[["1994"]]},"note":"Times Cited: 1125\nTrenberth, ke hurrell, jw","page":"303-319","title":"Decadal atmosphere-ocean variations in the Pacific","type":"article-journal","volume":"9"},"uris":["http://www.mendeley.com/documents/?uuid=66bc6f18-91ac-4d46-9ac2-ea51418df39c"]}],"mendeley":{"formattedCitation":"[7]","plainTextFormattedCitation":"[7]","previouslyFormattedCitation":"[7]"},"properties":{"noteIndex":0},"schema":"https://github.com/citation-style-language/schema/raw/master/csl-citation.json"}</w:instrText>
      </w:r>
      <w:r>
        <w:rPr>
          <w:rFonts w:ascii="Times New Roman" w:hAnsi="Times New Roman" w:cs="Times New Roman"/>
        </w:rPr>
        <w:fldChar w:fldCharType="separate"/>
      </w:r>
      <w:r w:rsidR="00CE116A" w:rsidRPr="00CE116A">
        <w:rPr>
          <w:rFonts w:ascii="Times New Roman" w:hAnsi="Times New Roman" w:cs="Times New Roman"/>
          <w:noProof/>
        </w:rPr>
        <w:t>[7]</w:t>
      </w:r>
      <w:r>
        <w:rPr>
          <w:rFonts w:ascii="Times New Roman" w:hAnsi="Times New Roman" w:cs="Times New Roman"/>
        </w:rPr>
        <w:fldChar w:fldCharType="end"/>
      </w:r>
      <w:r w:rsidR="00CE116A">
        <w:rPr>
          <w:rFonts w:ascii="Times New Roman" w:hAnsi="Times New Roman" w:cs="Times New Roman"/>
        </w:rPr>
        <w:t>)</w:t>
      </w:r>
      <w:r w:rsidRPr="009314B4">
        <w:rPr>
          <w:rFonts w:ascii="Times New Roman" w:hAnsi="Times New Roman" w:cs="Times New Roman"/>
        </w:rPr>
        <w:t xml:space="preserve">. </w:t>
      </w:r>
      <w:r w:rsidR="00DC5CB0">
        <w:rPr>
          <w:rFonts w:ascii="Times New Roman" w:hAnsi="Times New Roman" w:cs="Times New Roman"/>
        </w:rPr>
        <w:t>Th</w:t>
      </w:r>
      <w:r w:rsidR="00101F9D">
        <w:rPr>
          <w:rFonts w:ascii="Times New Roman" w:hAnsi="Times New Roman" w:cs="Times New Roman"/>
        </w:rPr>
        <w:t>is</w:t>
      </w:r>
      <w:r w:rsidR="00DC5CB0" w:rsidRPr="009314B4">
        <w:rPr>
          <w:rFonts w:ascii="Times New Roman" w:hAnsi="Times New Roman" w:cs="Times New Roman"/>
        </w:rPr>
        <w:t xml:space="preserve"> </w:t>
      </w:r>
      <w:r w:rsidR="00B26B79">
        <w:rPr>
          <w:rFonts w:ascii="Times New Roman" w:hAnsi="Times New Roman" w:cs="Times New Roman"/>
        </w:rPr>
        <w:t xml:space="preserve">basin </w:t>
      </w:r>
      <w:r w:rsidRPr="009314B4">
        <w:rPr>
          <w:rFonts w:ascii="Times New Roman" w:hAnsi="Times New Roman" w:cs="Times New Roman"/>
        </w:rPr>
        <w:t xml:space="preserve">spatial scale </w:t>
      </w:r>
      <w:r w:rsidR="00101F9D">
        <w:rPr>
          <w:rFonts w:ascii="Times New Roman" w:hAnsi="Times New Roman" w:cs="Times New Roman"/>
        </w:rPr>
        <w:t>is too large to reflect</w:t>
      </w:r>
      <w:r w:rsidRPr="009314B4">
        <w:rPr>
          <w:rFonts w:ascii="Times New Roman" w:hAnsi="Times New Roman" w:cs="Times New Roman"/>
        </w:rPr>
        <w:t xml:space="preserve"> the</w:t>
      </w:r>
      <w:r w:rsidR="00101F9D">
        <w:rPr>
          <w:rFonts w:ascii="Times New Roman" w:hAnsi="Times New Roman" w:cs="Times New Roman"/>
        </w:rPr>
        <w:t xml:space="preserve"> spatial</w:t>
      </w:r>
      <w:r w:rsidRPr="009314B4">
        <w:rPr>
          <w:rFonts w:ascii="Times New Roman" w:hAnsi="Times New Roman" w:cs="Times New Roman"/>
        </w:rPr>
        <w:t xml:space="preserve"> changes we observed in SLP</w:t>
      </w:r>
      <w:r>
        <w:rPr>
          <w:rFonts w:ascii="Times New Roman" w:hAnsi="Times New Roman" w:cs="Times New Roman"/>
        </w:rPr>
        <w:t>a</w:t>
      </w:r>
      <w:r w:rsidRPr="009314B4">
        <w:rPr>
          <w:rFonts w:ascii="Times New Roman" w:hAnsi="Times New Roman" w:cs="Times New Roman"/>
        </w:rPr>
        <w:t xml:space="preserve"> </w:t>
      </w:r>
      <w:r>
        <w:rPr>
          <w:rFonts w:ascii="Times New Roman" w:hAnsi="Times New Roman" w:cs="Times New Roman"/>
        </w:rPr>
        <w:t>fields associated</w:t>
      </w:r>
      <w:r w:rsidR="00CE116A">
        <w:rPr>
          <w:rFonts w:ascii="Times New Roman" w:hAnsi="Times New Roman" w:cs="Times New Roman"/>
        </w:rPr>
        <w:t xml:space="preserve"> with the PDO</w:t>
      </w:r>
      <w:r w:rsidR="006F52BC">
        <w:rPr>
          <w:rFonts w:ascii="Times New Roman" w:hAnsi="Times New Roman" w:cs="Times New Roman"/>
        </w:rPr>
        <w:t xml:space="preserve"> (Fig. 1c,d)</w:t>
      </w:r>
      <w:r w:rsidRPr="009314B4">
        <w:rPr>
          <w:rFonts w:ascii="Times New Roman" w:hAnsi="Times New Roman" w:cs="Times New Roman"/>
        </w:rPr>
        <w:t>. To capture ecologically important changes in Aleutian Low behavior, instead of the NPI we used SLPa values calculated over an area defined by the observed decline in variance after 1988/</w:t>
      </w:r>
      <w:r w:rsidR="00032692">
        <w:rPr>
          <w:rFonts w:ascii="Times New Roman" w:hAnsi="Times New Roman" w:cs="Times New Roman"/>
        </w:rPr>
        <w:t>19</w:t>
      </w:r>
      <w:r w:rsidRPr="009314B4">
        <w:rPr>
          <w:rFonts w:ascii="Times New Roman" w:hAnsi="Times New Roman" w:cs="Times New Roman"/>
        </w:rPr>
        <w:t>89 (</w:t>
      </w:r>
      <w:r w:rsidR="002C1DC7">
        <w:rPr>
          <w:rFonts w:ascii="Times New Roman" w:hAnsi="Times New Roman" w:cs="Times New Roman"/>
        </w:rPr>
        <w:t>4</w:t>
      </w:r>
      <w:r w:rsidR="00295384">
        <w:rPr>
          <w:rFonts w:ascii="Times New Roman" w:hAnsi="Times New Roman" w:cs="Times New Roman"/>
        </w:rPr>
        <w:t>7</w:t>
      </w:r>
      <w:r w:rsidR="002C1DC7">
        <w:rPr>
          <w:rFonts w:ascii="Times New Roman" w:hAnsi="Times New Roman" w:cs="Times New Roman"/>
        </w:rPr>
        <w:t>º-</w:t>
      </w:r>
      <w:r w:rsidR="00295384">
        <w:rPr>
          <w:rFonts w:ascii="Times New Roman" w:hAnsi="Times New Roman" w:cs="Times New Roman"/>
        </w:rPr>
        <w:t>57ºN</w:t>
      </w:r>
      <w:r w:rsidR="002C1DC7">
        <w:rPr>
          <w:rFonts w:ascii="Times New Roman" w:hAnsi="Times New Roman" w:cs="Times New Roman"/>
        </w:rPr>
        <w:t xml:space="preserve">, </w:t>
      </w:r>
      <w:r w:rsidR="00295384">
        <w:rPr>
          <w:rFonts w:ascii="Times New Roman" w:hAnsi="Times New Roman" w:cs="Times New Roman"/>
        </w:rPr>
        <w:t>153º</w:t>
      </w:r>
      <w:r w:rsidR="002C1DC7">
        <w:rPr>
          <w:rFonts w:ascii="Times New Roman" w:hAnsi="Times New Roman" w:cs="Times New Roman"/>
        </w:rPr>
        <w:t>-</w:t>
      </w:r>
      <w:r w:rsidR="00295384">
        <w:rPr>
          <w:rFonts w:ascii="Times New Roman" w:hAnsi="Times New Roman" w:cs="Times New Roman"/>
        </w:rPr>
        <w:t>169ºW</w:t>
      </w:r>
      <w:r w:rsidR="002C1DC7">
        <w:rPr>
          <w:rFonts w:ascii="Times New Roman" w:hAnsi="Times New Roman" w:cs="Times New Roman"/>
        </w:rPr>
        <w:t>, Fig. S2</w:t>
      </w:r>
      <w:r w:rsidRPr="009314B4">
        <w:rPr>
          <w:rFonts w:ascii="Times New Roman" w:hAnsi="Times New Roman" w:cs="Times New Roman"/>
        </w:rPr>
        <w:t>).</w:t>
      </w:r>
    </w:p>
    <w:p w14:paraId="4BFF864A" w14:textId="7032FD8B" w:rsidR="000E2B8E" w:rsidRPr="0006406B" w:rsidRDefault="0085358A" w:rsidP="00A13BA5">
      <w:pPr>
        <w:spacing w:line="360" w:lineRule="auto"/>
        <w:ind w:firstLine="720"/>
        <w:rPr>
          <w:rFonts w:ascii="Times New Roman" w:hAnsi="Times New Roman" w:cs="Times New Roman"/>
        </w:rPr>
      </w:pPr>
      <w:r>
        <w:rPr>
          <w:rFonts w:ascii="Times New Roman" w:hAnsi="Times New Roman" w:cs="Times New Roman"/>
        </w:rPr>
        <w:lastRenderedPageBreak/>
        <w:t>Mixed-effects models for separate evaluation of non-stationary SST-catch relationships in management areas with and without significant hatchery inputs took the form:</w:t>
      </w:r>
    </w:p>
    <w:p w14:paraId="24CF9D60" w14:textId="79D2A3C2" w:rsidR="009B1918" w:rsidRPr="006D188A" w:rsidRDefault="00CA0590" w:rsidP="00A13BA5">
      <w:pPr>
        <w:spacing w:line="360" w:lineRule="auto"/>
        <w:ind w:firstLine="720"/>
        <w:jc w:val="center"/>
        <w:rPr>
          <w:rFonts w:ascii="Times New Roman" w:eastAsiaTheme="minorEastAsia" w:hAnsi="Times New Roman" w:cs="Times New Roman"/>
        </w:rPr>
      </w:pPr>
      <m:oMath>
        <m:func>
          <m:funcPr>
            <m:ctrlPr>
              <w:rPr>
                <w:rFonts w:ascii="Cambria Math" w:hAnsi="Cambria Math" w:cs="Times New Roman"/>
                <w:i/>
              </w:rPr>
            </m:ctrlPr>
          </m:funcPr>
          <m:fName>
            <m:r>
              <m:rPr>
                <m:sty m:val="p"/>
              </m:rPr>
              <w:rPr>
                <w:rFonts w:ascii="Cambria Math" w:hAnsi="Cambria Math" w:cs="Times New Roman"/>
              </w:rPr>
              <m:t>log</m:t>
            </m:r>
          </m:fName>
          <m:e>
            <m:d>
              <m:dPr>
                <m:ctrlPr>
                  <w:rPr>
                    <w:rFonts w:ascii="Cambria Math" w:hAnsi="Cambria Math" w:cs="Times New Roman"/>
                    <w:i/>
                  </w:rPr>
                </m:ctrlPr>
              </m:dPr>
              <m:e>
                <m:sSub>
                  <m:sSubPr>
                    <m:ctrlPr>
                      <w:rPr>
                        <w:rFonts w:ascii="Cambria Math" w:hAnsi="Cambria Math" w:cs="Times New Roman"/>
                      </w:rPr>
                    </m:ctrlPr>
                  </m:sSubPr>
                  <m:e>
                    <m:r>
                      <m:rPr>
                        <m:sty m:val="p"/>
                      </m:rPr>
                      <w:rPr>
                        <w:rFonts w:ascii="Cambria Math" w:hAnsi="Cambria Math" w:cs="Times New Roman"/>
                      </w:rPr>
                      <m:t>c</m:t>
                    </m:r>
                  </m:e>
                  <m:sub>
                    <m:r>
                      <w:rPr>
                        <w:rFonts w:ascii="Cambria Math" w:hAnsi="Cambria Math" w:cs="Times New Roman"/>
                      </w:rPr>
                      <m:t>t</m:t>
                    </m:r>
                  </m:sub>
                </m:sSub>
              </m:e>
            </m:d>
          </m:e>
        </m:func>
        <m:r>
          <w:rPr>
            <w:rFonts w:ascii="Cambria Math" w:hAnsi="Cambria Math" w:cs="Times New Roman"/>
          </w:rPr>
          <m:t xml:space="preserve">= α+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m:t>
        </m:r>
        <m:d>
          <m:dPr>
            <m:ctrlPr>
              <w:rPr>
                <w:rFonts w:ascii="Cambria Math" w:hAnsi="Cambria Math" w:cs="Times New Roman"/>
                <w:i/>
              </w:rPr>
            </m:ctrlPr>
          </m:dPr>
          <m:e>
            <m:r>
              <w:rPr>
                <w:rFonts w:ascii="Cambria Math" w:hAnsi="Cambria Math" w:cs="Times New Roman"/>
              </w:rPr>
              <m:t>β</m:t>
            </m:r>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ctrlPr>
              <w:rPr>
                <w:rFonts w:ascii="Cambria Math" w:hAnsi="Cambria Math" w:cs="Times New Roman"/>
              </w:rPr>
            </m:ctrlPr>
          </m:e>
        </m:d>
        <m:r>
          <m:rPr>
            <m:sty m:val="p"/>
          </m:rPr>
          <w:rPr>
            <w:rFonts w:ascii="Cambria Math" w:hAnsi="Cambria Math" w:cs="Times New Roman"/>
          </w:rPr>
          <m:t xml:space="preserve"> × SST+ </m:t>
        </m:r>
        <m:sSub>
          <m:sSubPr>
            <m:ctrlPr>
              <w:rPr>
                <w:rFonts w:ascii="Cambria Math" w:hAnsi="Cambria Math" w:cs="Times New Roman"/>
              </w:rPr>
            </m:ctrlPr>
          </m:sSubPr>
          <m:e>
            <m:r>
              <w:rPr>
                <w:rFonts w:ascii="Cambria Math" w:hAnsi="Cambria Math" w:cs="Times New Roman"/>
              </w:rPr>
              <m:t>y</m:t>
            </m:r>
          </m:e>
          <m:sub>
            <m:r>
              <w:rPr>
                <w:rFonts w:ascii="Cambria Math" w:hAnsi="Cambria Math" w:cs="Times New Roman"/>
              </w:rPr>
              <m:t>era</m:t>
            </m:r>
          </m:sub>
        </m:sSub>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δ</m:t>
            </m:r>
          </m:e>
          <m:sub>
            <m:r>
              <w:rPr>
                <w:rFonts w:ascii="Cambria Math" w:hAnsi="Cambria Math" w:cs="Times New Roman"/>
              </w:rPr>
              <m:t>era</m:t>
            </m:r>
          </m:sub>
        </m:sSub>
        <m:r>
          <m:rPr>
            <m:sty m:val="p"/>
          </m:rPr>
          <w:rPr>
            <w:rFonts w:ascii="Cambria Math" w:hAnsi="Cambria Math" w:cs="Times New Roman"/>
          </w:rPr>
          <m:t xml:space="preserve">× SST+ </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i,t</m:t>
            </m:r>
          </m:sub>
        </m:sSub>
        <m:r>
          <w:rPr>
            <w:rFonts w:ascii="Cambria Math" w:hAnsi="Cambria Math" w:cs="Times New Roman"/>
          </w:rPr>
          <m:t xml:space="preserve"> </m:t>
        </m:r>
      </m:oMath>
      <w:r w:rsidR="000B5B57" w:rsidRPr="006D188A">
        <w:rPr>
          <w:rFonts w:ascii="Times New Roman" w:eastAsiaTheme="minorEastAsia" w:hAnsi="Times New Roman" w:cs="Times New Roman"/>
        </w:rPr>
        <w:t>,</w:t>
      </w:r>
    </w:p>
    <w:p w14:paraId="4BD53335" w14:textId="2ADAA9DB" w:rsidR="00E2223C" w:rsidRDefault="000B5B57" w:rsidP="00A13BA5">
      <w:pPr>
        <w:spacing w:line="360" w:lineRule="auto"/>
        <w:rPr>
          <w:rFonts w:ascii="Times New Roman" w:eastAsiaTheme="minorEastAsia" w:hAnsi="Times New Roman" w:cs="Times New Roman"/>
        </w:rPr>
      </w:pPr>
      <w:r w:rsidRPr="006D188A">
        <w:rPr>
          <w:rFonts w:ascii="Times New Roman" w:eastAsiaTheme="minorEastAsia" w:hAnsi="Times New Roman" w:cs="Times New Roman"/>
        </w:rPr>
        <w:t xml:space="preserve">where </w:t>
      </w:r>
      <w:r w:rsidR="00FE4E04">
        <w:rPr>
          <w:rFonts w:ascii="Times New Roman" w:eastAsiaTheme="minorEastAsia" w:hAnsi="Times New Roman" w:cs="Times New Roman"/>
        </w:rPr>
        <w:t>catch (c</w:t>
      </w:r>
      <w:r w:rsidRPr="006D188A">
        <w:rPr>
          <w:rFonts w:ascii="Times New Roman" w:eastAsiaTheme="minorEastAsia" w:hAnsi="Times New Roman" w:cs="Times New Roman"/>
        </w:rPr>
        <w:t xml:space="preserve">) </w:t>
      </w:r>
      <w:r w:rsidR="009A61CA">
        <w:rPr>
          <w:rFonts w:ascii="Times New Roman" w:eastAsiaTheme="minorEastAsia" w:hAnsi="Times New Roman" w:cs="Times New Roman"/>
        </w:rPr>
        <w:t xml:space="preserve">in </w:t>
      </w:r>
      <w:r w:rsidR="00457928">
        <w:rPr>
          <w:rFonts w:ascii="Times New Roman" w:eastAsiaTheme="minorEastAsia" w:hAnsi="Times New Roman" w:cs="Times New Roman"/>
        </w:rPr>
        <w:t>a</w:t>
      </w:r>
      <w:r w:rsidR="009A61CA">
        <w:rPr>
          <w:rFonts w:ascii="Times New Roman" w:eastAsiaTheme="minorEastAsia" w:hAnsi="Times New Roman" w:cs="Times New Roman"/>
        </w:rPr>
        <w:t xml:space="preserve"> </w:t>
      </w:r>
      <w:r w:rsidR="00457928">
        <w:rPr>
          <w:rFonts w:ascii="Times New Roman" w:eastAsiaTheme="minorEastAsia" w:hAnsi="Times New Roman" w:cs="Times New Roman"/>
        </w:rPr>
        <w:t>given y</w:t>
      </w:r>
      <w:r w:rsidR="009A61CA">
        <w:rPr>
          <w:rFonts w:ascii="Times New Roman" w:eastAsiaTheme="minorEastAsia" w:hAnsi="Times New Roman" w:cs="Times New Roman"/>
        </w:rPr>
        <w:t>ea</w:t>
      </w:r>
      <w:r w:rsidR="00457928">
        <w:rPr>
          <w:rFonts w:ascii="Times New Roman" w:eastAsiaTheme="minorEastAsia" w:hAnsi="Times New Roman" w:cs="Times New Roman"/>
        </w:rPr>
        <w:t>r (</w:t>
      </w:r>
      <w:r w:rsidR="00457928" w:rsidRPr="0006406B">
        <w:rPr>
          <w:rFonts w:ascii="Times New Roman" w:eastAsiaTheme="minorEastAsia" w:hAnsi="Times New Roman" w:cs="Times New Roman"/>
          <w:i/>
        </w:rPr>
        <w:t>t</w:t>
      </w:r>
      <w:r w:rsidR="00457928">
        <w:rPr>
          <w:rFonts w:ascii="Times New Roman" w:eastAsiaTheme="minorEastAsia" w:hAnsi="Times New Roman" w:cs="Times New Roman"/>
        </w:rPr>
        <w:t xml:space="preserve">) </w:t>
      </w:r>
      <w:r w:rsidRPr="006D188A">
        <w:rPr>
          <w:rFonts w:ascii="Times New Roman" w:eastAsiaTheme="minorEastAsia" w:hAnsi="Times New Roman" w:cs="Times New Roman"/>
        </w:rPr>
        <w:t xml:space="preserve">is estimated across species-area combinations by a fixed intercept </w:t>
      </w:r>
      <w:r w:rsidRPr="006D188A">
        <w:rPr>
          <w:rFonts w:ascii="Cambria Math" w:eastAsiaTheme="minorEastAsia" w:hAnsi="Cambria Math" w:cs="Cambria Math"/>
        </w:rPr>
        <w:t>𝛼</w:t>
      </w:r>
      <w:r w:rsidRPr="0006406B">
        <w:rPr>
          <w:rFonts w:ascii="Times New Roman" w:eastAsiaTheme="minorEastAsia" w:hAnsi="Times New Roman" w:cs="Times New Roman"/>
        </w:rPr>
        <w:t xml:space="preserve"> and a random term (</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oMath>
      <w:r w:rsidRPr="0006406B">
        <w:rPr>
          <w:rFonts w:ascii="Times New Roman" w:eastAsiaTheme="minorEastAsia" w:hAnsi="Times New Roman" w:cs="Times New Roman"/>
        </w:rPr>
        <w:t xml:space="preserve">) that reflects the deviation from the overall production for each area-species combination </w:t>
      </w:r>
      <m:oMath>
        <m:r>
          <w:rPr>
            <w:rFonts w:ascii="Cambria Math" w:hAnsi="Cambria Math" w:cs="Times New Roman"/>
          </w:rPr>
          <m:t>i</m:t>
        </m:r>
      </m:oMath>
      <w:r w:rsidRPr="0006406B">
        <w:rPr>
          <w:rFonts w:ascii="Times New Roman" w:eastAsiaTheme="minorEastAsia" w:hAnsi="Times New Roman" w:cs="Times New Roman"/>
        </w:rPr>
        <w:t xml:space="preserve">. Similarly, the overall effect of SST is estimated through the fixed effect </w:t>
      </w:r>
      <m:oMath>
        <m:r>
          <w:rPr>
            <w:rFonts w:ascii="Cambria Math" w:hAnsi="Cambria Math" w:cs="Times New Roman"/>
          </w:rPr>
          <m:t>β</m:t>
        </m:r>
      </m:oMath>
      <w:r w:rsidRPr="0006406B">
        <w:rPr>
          <w:rFonts w:ascii="Times New Roman" w:eastAsiaTheme="minorEastAsia" w:hAnsi="Times New Roman" w:cs="Times New Roman"/>
        </w:rPr>
        <w:t xml:space="preserve"> with deviation</w:t>
      </w:r>
      <w:r w:rsidR="00FE4E04">
        <w:rPr>
          <w:rFonts w:ascii="Times New Roman" w:eastAsiaTheme="minorEastAsia" w:hAnsi="Times New Roman" w:cs="Times New Roman"/>
        </w:rPr>
        <w:t>s</w:t>
      </w:r>
      <w:r w:rsidRPr="0006406B">
        <w:rPr>
          <w:rFonts w:ascii="Times New Roman" w:eastAsiaTheme="minorEastAsia" w:hAnsi="Times New Roman" w:cs="Times New Roman"/>
        </w:rPr>
        <w:t xml:space="preserve"> estimated through a random effect </w:t>
      </w:r>
      <w:r w:rsidR="006D188A" w:rsidRPr="0006406B">
        <w:rPr>
          <w:rFonts w:ascii="Times New Roman" w:eastAsiaTheme="minorEastAsia" w:hAnsi="Times New Roman" w:cs="Times New Roman"/>
        </w:rPr>
        <w:t>(</w:t>
      </w:r>
      <m:oMath>
        <m:sSub>
          <m:sSubPr>
            <m:ctrlPr>
              <w:rPr>
                <w:rFonts w:ascii="Cambria Math" w:hAnsi="Cambria Math" w:cs="Times New Roman"/>
                <w:i/>
              </w:rPr>
            </m:ctrlPr>
          </m:sSubPr>
          <m:e>
            <m:r>
              <w:rPr>
                <w:rFonts w:ascii="Cambria Math" w:hAnsi="Cambria Math" w:cs="Times New Roman"/>
              </w:rPr>
              <m:t>b</m:t>
            </m:r>
          </m:e>
          <m:sub>
            <m:r>
              <w:rPr>
                <w:rFonts w:ascii="Cambria Math" w:hAnsi="Cambria Math" w:cs="Times New Roman"/>
              </w:rPr>
              <m:t>i</m:t>
            </m:r>
          </m:sub>
        </m:sSub>
      </m:oMath>
      <w:r w:rsidR="006D188A" w:rsidRPr="0006406B">
        <w:rPr>
          <w:rFonts w:ascii="Times New Roman" w:eastAsiaTheme="minorEastAsia" w:hAnsi="Times New Roman" w:cs="Times New Roman"/>
        </w:rPr>
        <w:t>)</w:t>
      </w:r>
      <w:r w:rsidR="00FE4E04">
        <w:rPr>
          <w:rFonts w:ascii="Times New Roman" w:eastAsiaTheme="minorEastAsia" w:hAnsi="Times New Roman" w:cs="Times New Roman"/>
        </w:rPr>
        <w:t xml:space="preserve"> </w:t>
      </w:r>
      <w:r w:rsidRPr="0006406B">
        <w:rPr>
          <w:rFonts w:ascii="Times New Roman" w:eastAsiaTheme="minorEastAsia" w:hAnsi="Times New Roman" w:cs="Times New Roman"/>
        </w:rPr>
        <w:t xml:space="preserve">for </w:t>
      </w:r>
      <w:r w:rsidR="006D188A" w:rsidRPr="0006406B">
        <w:rPr>
          <w:rFonts w:ascii="Times New Roman" w:eastAsiaTheme="minorEastAsia" w:hAnsi="Times New Roman" w:cs="Times New Roman"/>
        </w:rPr>
        <w:t xml:space="preserve">each area-species combination </w:t>
      </w:r>
      <m:oMath>
        <m:r>
          <w:rPr>
            <w:rFonts w:ascii="Cambria Math" w:hAnsi="Cambria Math" w:cs="Times New Roman"/>
          </w:rPr>
          <m:t>i</m:t>
        </m:r>
      </m:oMath>
      <w:r w:rsidR="006D188A" w:rsidRPr="0006406B">
        <w:rPr>
          <w:rFonts w:ascii="Times New Roman" w:eastAsiaTheme="minorEastAsia" w:hAnsi="Times New Roman" w:cs="Times New Roman"/>
        </w:rPr>
        <w:t xml:space="preserve">. Differences in production between eras (1965-1988 vs. </w:t>
      </w:r>
      <w:r w:rsidR="006D188A">
        <w:rPr>
          <w:rFonts w:ascii="Times New Roman" w:eastAsiaTheme="minorEastAsia" w:hAnsi="Times New Roman" w:cs="Times New Roman"/>
        </w:rPr>
        <w:t xml:space="preserve">1989-2012) were estimated with the fixed effect </w:t>
      </w:r>
      <m:oMath>
        <m:r>
          <m:rPr>
            <m:sty m:val="p"/>
          </m:rPr>
          <w:rPr>
            <w:rFonts w:ascii="Cambria Math" w:hAnsi="Cambria Math" w:cs="Times New Roman"/>
          </w:rPr>
          <m:t>γ</m:t>
        </m:r>
      </m:oMath>
      <w:r w:rsidR="006D188A">
        <w:rPr>
          <w:rFonts w:ascii="Times New Roman" w:eastAsiaTheme="minorEastAsia" w:hAnsi="Times New Roman" w:cs="Times New Roman"/>
        </w:rPr>
        <w:t xml:space="preserve">, and the difference in SST effects between eras is estimated with the fixed interaction term </w:t>
      </w:r>
      <m:oMath>
        <m:r>
          <m:rPr>
            <m:sty m:val="p"/>
          </m:rPr>
          <w:rPr>
            <w:rFonts w:ascii="Cambria Math" w:hAnsi="Cambria Math" w:cs="Times New Roman"/>
          </w:rPr>
          <m:t>δ</m:t>
        </m:r>
      </m:oMath>
      <w:r w:rsidR="006D188A">
        <w:rPr>
          <w:rFonts w:ascii="Times New Roman" w:eastAsiaTheme="minorEastAsia" w:hAnsi="Times New Roman" w:cs="Times New Roman"/>
        </w:rPr>
        <w:t xml:space="preserve">. </w:t>
      </w:r>
      <w:r w:rsidR="00E2223C">
        <w:rPr>
          <w:rFonts w:ascii="Times New Roman" w:eastAsiaTheme="minorEastAsia" w:hAnsi="Times New Roman" w:cs="Times New Roman"/>
        </w:rPr>
        <w:t xml:space="preserve">Errors were assumed to </w:t>
      </w:r>
      <w:r w:rsidR="00FE03CC">
        <w:rPr>
          <w:rFonts w:ascii="Times New Roman" w:eastAsiaTheme="minorEastAsia" w:hAnsi="Times New Roman" w:cs="Times New Roman"/>
        </w:rPr>
        <w:t>follow a</w:t>
      </w:r>
      <w:r w:rsidR="00E2223C">
        <w:rPr>
          <w:rFonts w:ascii="Times New Roman" w:eastAsiaTheme="minorEastAsia" w:hAnsi="Times New Roman" w:cs="Times New Roman"/>
        </w:rPr>
        <w:t xml:space="preserve"> first-order autocorrelated </w:t>
      </w:r>
      <w:r w:rsidR="00FE03CC">
        <w:rPr>
          <w:rFonts w:ascii="Times New Roman" w:eastAsiaTheme="minorEastAsia" w:hAnsi="Times New Roman" w:cs="Times New Roman"/>
        </w:rPr>
        <w:t xml:space="preserve">coefficient, </w:t>
      </w:r>
      <m:oMath>
        <m:r>
          <w:rPr>
            <w:rFonts w:ascii="Cambria Math" w:eastAsiaTheme="minorEastAsia" w:hAnsi="Cambria Math" w:cs="Times New Roman"/>
          </w:rPr>
          <m:t>ϕ</m:t>
        </m:r>
      </m:oMath>
      <w:r w:rsidR="00FE03CC">
        <w:rPr>
          <w:rFonts w:ascii="Times New Roman" w:eastAsiaTheme="minorEastAsia" w:hAnsi="Times New Roman" w:cs="Times New Roman"/>
        </w:rPr>
        <w:t xml:space="preserve">, </w:t>
      </w:r>
      <w:r w:rsidR="00844390">
        <w:rPr>
          <w:rFonts w:ascii="Times New Roman" w:eastAsiaTheme="minorEastAsia" w:hAnsi="Times New Roman" w:cs="Times New Roman"/>
        </w:rPr>
        <w:t xml:space="preserve">so that </w:t>
      </w:r>
      <w:r w:rsidR="00E2223C">
        <w:rPr>
          <w:rFonts w:ascii="Times New Roman" w:eastAsiaTheme="minorEastAsia" w:hAnsi="Times New Roman" w:cs="Times New Roman"/>
        </w:rPr>
        <w:t xml:space="preserve">for each </w:t>
      </w:r>
      <w:r w:rsidR="00E2223C" w:rsidRPr="00345354">
        <w:rPr>
          <w:rFonts w:ascii="Times New Roman" w:eastAsiaTheme="minorEastAsia" w:hAnsi="Times New Roman" w:cs="Times New Roman"/>
        </w:rPr>
        <w:t xml:space="preserve">area-species combination </w:t>
      </w:r>
      <m:oMath>
        <m:r>
          <w:rPr>
            <w:rFonts w:ascii="Cambria Math" w:hAnsi="Cambria Math" w:cs="Times New Roman"/>
          </w:rPr>
          <m:t>i</m:t>
        </m:r>
      </m:oMath>
      <w:r w:rsidR="00E2223C">
        <w:rPr>
          <w:rFonts w:ascii="Times New Roman" w:eastAsiaTheme="minorEastAsia" w:hAnsi="Times New Roman" w:cs="Times New Roman"/>
        </w:rPr>
        <w:t xml:space="preserve"> at time </w:t>
      </w:r>
      <m:oMath>
        <m:r>
          <w:rPr>
            <w:rFonts w:ascii="Cambria Math" w:eastAsiaTheme="minorEastAsia" w:hAnsi="Cambria Math" w:cs="Times New Roman"/>
          </w:rPr>
          <m:t>t</m:t>
        </m:r>
      </m:oMath>
      <w:r w:rsidR="00844390">
        <w:rPr>
          <w:rFonts w:ascii="Times New Roman" w:eastAsiaTheme="minorEastAsia" w:hAnsi="Times New Roman" w:cs="Times New Roman"/>
        </w:rPr>
        <w:t>,</w:t>
      </w:r>
    </w:p>
    <w:p w14:paraId="4D1A4F18" w14:textId="77777777" w:rsidR="000B5B57" w:rsidRDefault="00CA0590" w:rsidP="00A13BA5">
      <w:pPr>
        <w:spacing w:line="360" w:lineRule="auto"/>
        <w:jc w:val="center"/>
        <w:rPr>
          <w:rFonts w:ascii="Times New Roman" w:eastAsiaTheme="minorEastAsia" w:hAnsi="Times New Roman" w:cs="Times New Roman"/>
        </w:rPr>
      </w:pPr>
      <m:oMath>
        <m:sSub>
          <m:sSubPr>
            <m:ctrlPr>
              <w:rPr>
                <w:rFonts w:ascii="Cambria Math" w:eastAsiaTheme="minorEastAsia" w:hAnsi="Cambria Math" w:cs="Times New Roman"/>
                <w:i/>
              </w:rPr>
            </m:ctrlPr>
          </m:sSubPr>
          <m:e>
            <m:r>
              <w:rPr>
                <w:rFonts w:ascii="Cambria Math" w:eastAsiaTheme="minorEastAsia" w:hAnsi="Cambria Math" w:cs="Times New Roman"/>
              </w:rPr>
              <m:t>ε</m:t>
            </m:r>
          </m:e>
          <m:sub>
            <m:r>
              <w:rPr>
                <w:rFonts w:ascii="Cambria Math" w:eastAsiaTheme="minorEastAsia" w:hAnsi="Cambria Math" w:cs="Times New Roman"/>
              </w:rPr>
              <m:t>i,t</m:t>
            </m:r>
          </m:sub>
        </m:sSub>
        <m:r>
          <w:rPr>
            <w:rFonts w:ascii="Cambria Math" w:eastAsiaTheme="minorEastAsia" w:hAnsi="Cambria Math" w:cs="Times New Roman"/>
          </w:rPr>
          <m:t>= ϕ</m:t>
        </m:r>
        <m:sSub>
          <m:sSubPr>
            <m:ctrlPr>
              <w:rPr>
                <w:rFonts w:ascii="Cambria Math" w:eastAsiaTheme="minorEastAsia" w:hAnsi="Cambria Math" w:cs="Times New Roman"/>
                <w:i/>
              </w:rPr>
            </m:ctrlPr>
          </m:sSubPr>
          <m:e>
            <m:r>
              <w:rPr>
                <w:rFonts w:ascii="Cambria Math" w:eastAsiaTheme="minorEastAsia" w:hAnsi="Cambria Math" w:cs="Times New Roman"/>
              </w:rPr>
              <m:t>ε</m:t>
            </m:r>
          </m:e>
          <m:sub>
            <m:r>
              <w:rPr>
                <w:rFonts w:ascii="Cambria Math" w:eastAsiaTheme="minorEastAsia" w:hAnsi="Cambria Math" w:cs="Times New Roman"/>
              </w:rPr>
              <m:t>i,t-1</m:t>
            </m:r>
          </m:sub>
        </m:sSub>
        <m:r>
          <w:rPr>
            <w:rFonts w:ascii="Cambria Math" w:eastAsiaTheme="minorEastAsia" w:hAnsi="Cambria Math" w:cs="Times New Roman"/>
          </w:rPr>
          <m:t>+</m:t>
        </m:r>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t</m:t>
            </m:r>
          </m:sub>
        </m:sSub>
      </m:oMath>
      <w:r w:rsidR="00E2223C">
        <w:rPr>
          <w:rFonts w:ascii="Times New Roman" w:eastAsiaTheme="minorEastAsia" w:hAnsi="Times New Roman" w:cs="Times New Roman"/>
        </w:rPr>
        <w:t xml:space="preserve">, where </w:t>
      </w:r>
      <m:oMath>
        <m:sSub>
          <m:sSubPr>
            <m:ctrlPr>
              <w:rPr>
                <w:rFonts w:ascii="Cambria Math" w:eastAsiaTheme="minorEastAsia" w:hAnsi="Cambria Math" w:cs="Times New Roman"/>
                <w:i/>
              </w:rPr>
            </m:ctrlPr>
          </m:sSubPr>
          <m:e>
            <m:r>
              <w:rPr>
                <w:rFonts w:ascii="Cambria Math" w:eastAsiaTheme="minorEastAsia" w:hAnsi="Cambria Math" w:cs="Times New Roman"/>
              </w:rPr>
              <m:t>v</m:t>
            </m:r>
          </m:e>
          <m:sub>
            <m:r>
              <w:rPr>
                <w:rFonts w:ascii="Cambria Math" w:eastAsiaTheme="minorEastAsia" w:hAnsi="Cambria Math" w:cs="Times New Roman"/>
              </w:rPr>
              <m:t>t</m:t>
            </m:r>
          </m:sub>
        </m:sSub>
        <m:r>
          <w:rPr>
            <w:rFonts w:ascii="Cambria Math" w:eastAsiaTheme="minorEastAsia" w:hAnsi="Cambria Math" w:cs="Times New Roman"/>
          </w:rPr>
          <m:t>~N</m:t>
        </m:r>
        <m:d>
          <m:dPr>
            <m:ctrlPr>
              <w:rPr>
                <w:rFonts w:ascii="Cambria Math" w:eastAsiaTheme="minorEastAsia" w:hAnsi="Cambria Math" w:cs="Times New Roman"/>
                <w:i/>
              </w:rPr>
            </m:ctrlPr>
          </m:dPr>
          <m:e>
            <m:r>
              <w:rPr>
                <w:rFonts w:ascii="Cambria Math" w:eastAsiaTheme="minorEastAsia" w:hAnsi="Cambria Math" w:cs="Times New Roman"/>
              </w:rPr>
              <m:t>0,</m:t>
            </m:r>
            <m:sSup>
              <m:sSupPr>
                <m:ctrlPr>
                  <w:rPr>
                    <w:rFonts w:ascii="Cambria Math" w:eastAsiaTheme="minorEastAsia" w:hAnsi="Cambria Math" w:cs="Times New Roman"/>
                    <w:i/>
                  </w:rPr>
                </m:ctrlPr>
              </m:sSupPr>
              <m:e>
                <m:r>
                  <w:rPr>
                    <w:rFonts w:ascii="Cambria Math" w:eastAsiaTheme="minorEastAsia" w:hAnsi="Cambria Math" w:cs="Times New Roman"/>
                  </w:rPr>
                  <m:t>σ</m:t>
                </m:r>
              </m:e>
              <m:sup>
                <m:r>
                  <w:rPr>
                    <w:rFonts w:ascii="Cambria Math" w:eastAsiaTheme="minorEastAsia" w:hAnsi="Cambria Math" w:cs="Times New Roman"/>
                  </w:rPr>
                  <m:t>2</m:t>
                </m:r>
              </m:sup>
            </m:sSup>
          </m:e>
        </m:d>
      </m:oMath>
      <w:r w:rsidR="00E2223C">
        <w:rPr>
          <w:rFonts w:ascii="Times New Roman" w:eastAsiaTheme="minorEastAsia" w:hAnsi="Times New Roman" w:cs="Times New Roman"/>
        </w:rPr>
        <w:t>.</w:t>
      </w:r>
    </w:p>
    <w:p w14:paraId="05593991" w14:textId="77777777" w:rsidR="00430E62" w:rsidRPr="0006406B" w:rsidRDefault="00430E62" w:rsidP="00A13BA5">
      <w:pPr>
        <w:spacing w:line="360" w:lineRule="auto"/>
        <w:rPr>
          <w:rFonts w:ascii="Times New Roman" w:eastAsiaTheme="minorEastAsia" w:hAnsi="Times New Roman" w:cs="Times New Roman"/>
        </w:rPr>
      </w:pPr>
      <w:r>
        <w:rPr>
          <w:rFonts w:ascii="Times New Roman" w:eastAsiaTheme="minorEastAsia" w:hAnsi="Times New Roman" w:cs="Times New Roman"/>
        </w:rPr>
        <w:t>SST values in this analysis were again winter means for the Gulf of Alaska, smoothed with a three-year running mean.</w:t>
      </w:r>
    </w:p>
    <w:p w14:paraId="4B022E17" w14:textId="77777777" w:rsidR="00605935" w:rsidRDefault="00605935" w:rsidP="00A13BA5">
      <w:pPr>
        <w:spacing w:line="360" w:lineRule="auto"/>
        <w:ind w:firstLine="720"/>
        <w:rPr>
          <w:rFonts w:ascii="Times New Roman" w:hAnsi="Times New Roman" w:cs="Times New Roman"/>
        </w:rPr>
      </w:pPr>
      <w:r>
        <w:rPr>
          <w:rFonts w:ascii="Times New Roman" w:hAnsi="Times New Roman" w:cs="Times New Roman"/>
        </w:rPr>
        <w:t>Spawner-recruit analysis also used a mixed-effects approach, in this case taking the form</w:t>
      </w:r>
    </w:p>
    <w:p w14:paraId="2DAF0DF6" w14:textId="6D2DC811" w:rsidR="00605935" w:rsidRPr="006D188A" w:rsidRDefault="00CA0590" w:rsidP="00A13BA5">
      <w:pPr>
        <w:spacing w:line="360" w:lineRule="auto"/>
        <w:jc w:val="center"/>
        <w:rPr>
          <w:rFonts w:ascii="Times New Roman" w:eastAsiaTheme="minorEastAsia" w:hAnsi="Times New Roman" w:cs="Times New Roman"/>
        </w:rPr>
      </w:pPr>
      <m:oMath>
        <m:func>
          <m:funcPr>
            <m:ctrlPr>
              <w:rPr>
                <w:rFonts w:ascii="Cambria Math" w:hAnsi="Cambria Math" w:cs="Times New Roman"/>
                <w:i/>
              </w:rPr>
            </m:ctrlPr>
          </m:funcPr>
          <m:fName>
            <m:r>
              <m:rPr>
                <m:sty m:val="p"/>
              </m:rPr>
              <w:rPr>
                <w:rFonts w:ascii="Cambria Math" w:hAnsi="Cambria Math" w:cs="Times New Roman"/>
              </w:rPr>
              <m:t>log</m:t>
            </m:r>
          </m:fName>
          <m:e>
            <m:d>
              <m:dPr>
                <m:ctrlPr>
                  <w:rPr>
                    <w:rFonts w:ascii="Cambria Math" w:hAnsi="Cambria Math" w:cs="Times New Roman"/>
                    <w:i/>
                  </w:rPr>
                </m:ctrlPr>
              </m:dPr>
              <m:e>
                <m:sSub>
                  <m:sSubPr>
                    <m:ctrlPr>
                      <w:rPr>
                        <w:rFonts w:ascii="Cambria Math" w:hAnsi="Cambria Math" w:cs="Times New Roman"/>
                      </w:rPr>
                    </m:ctrlPr>
                  </m:sSubPr>
                  <m:e>
                    <m:r>
                      <m:rPr>
                        <m:sty m:val="p"/>
                      </m:rPr>
                      <w:rPr>
                        <w:rFonts w:ascii="Cambria Math" w:hAnsi="Cambria Math" w:cs="Times New Roman"/>
                      </w:rPr>
                      <m:t>R</m:t>
                    </m:r>
                  </m:e>
                  <m:sub>
                    <m:r>
                      <w:rPr>
                        <w:rFonts w:ascii="Cambria Math" w:hAnsi="Cambria Math" w:cs="Times New Roman"/>
                      </w:rPr>
                      <m:t>t</m:t>
                    </m:r>
                  </m:sub>
                </m:sSub>
              </m:e>
            </m:d>
          </m:e>
        </m:func>
        <m:r>
          <w:rPr>
            <w:rFonts w:ascii="Cambria Math" w:hAnsi="Cambria Math" w:cs="Times New Roman"/>
          </w:rPr>
          <m:t xml:space="preserve">= α+ </m:t>
        </m:r>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r>
          <m:rPr>
            <m:sty m:val="p"/>
          </m:rPr>
          <w:rPr>
            <w:rFonts w:ascii="Cambria Math" w:hAnsi="Cambria Math" w:cs="Times New Roman"/>
          </w:rPr>
          <m:t>S</m:t>
        </m:r>
        <m:r>
          <w:rPr>
            <w:rFonts w:ascii="Cambria Math" w:hAnsi="Cambria Math" w:cs="Times New Roman"/>
          </w:rPr>
          <m:t>+</m:t>
        </m:r>
        <m:func>
          <m:funcPr>
            <m:ctrlPr>
              <w:rPr>
                <w:rFonts w:ascii="Cambria Math" w:hAnsi="Cambria Math" w:cs="Times New Roman"/>
                <w:i/>
              </w:rPr>
            </m:ctrlPr>
          </m:funcPr>
          <m:fName>
            <m:r>
              <m:rPr>
                <m:sty m:val="p"/>
              </m:rPr>
              <w:rPr>
                <w:rFonts w:ascii="Cambria Math" w:hAnsi="Cambria Math" w:cs="Times New Roman"/>
              </w:rPr>
              <m:t>log</m:t>
            </m:r>
          </m:fName>
          <m:e>
            <m:d>
              <m:dPr>
                <m:ctrlPr>
                  <w:rPr>
                    <w:rFonts w:ascii="Cambria Math" w:hAnsi="Cambria Math" w:cs="Times New Roman"/>
                    <w:i/>
                  </w:rPr>
                </m:ctrlPr>
              </m:dPr>
              <m:e>
                <m:sSub>
                  <m:sSubPr>
                    <m:ctrlPr>
                      <w:rPr>
                        <w:rFonts w:ascii="Cambria Math" w:hAnsi="Cambria Math" w:cs="Times New Roman"/>
                        <w:i/>
                      </w:rPr>
                    </m:ctrlPr>
                  </m:sSubPr>
                  <m:e>
                    <m:r>
                      <w:rPr>
                        <w:rFonts w:ascii="Cambria Math" w:hAnsi="Cambria Math" w:cs="Times New Roman"/>
                      </w:rPr>
                      <m:t>S</m:t>
                    </m:r>
                  </m:e>
                  <m:sub>
                    <m:r>
                      <w:rPr>
                        <w:rFonts w:ascii="Cambria Math" w:hAnsi="Cambria Math" w:cs="Times New Roman"/>
                      </w:rPr>
                      <m:t>t</m:t>
                    </m:r>
                  </m:sub>
                </m:sSub>
              </m:e>
            </m:d>
          </m:e>
        </m:func>
        <m:r>
          <w:rPr>
            <w:rFonts w:ascii="Cambria Math" w:eastAsiaTheme="minorEastAsia" w:hAnsi="Cambria Math" w:cs="Times New Roman"/>
          </w:rPr>
          <m:t>+</m:t>
        </m:r>
        <m:d>
          <m:dPr>
            <m:ctrlPr>
              <w:rPr>
                <w:rFonts w:ascii="Cambria Math" w:eastAsiaTheme="minorEastAsia" w:hAnsi="Cambria Math" w:cs="Times New Roman"/>
                <w:i/>
              </w:rPr>
            </m:ctrlPr>
          </m:dPr>
          <m:e>
            <m:r>
              <w:rPr>
                <w:rFonts w:ascii="Cambria Math" w:eastAsiaTheme="minorEastAsia" w:hAnsi="Cambria Math" w:cs="Times New Roman"/>
              </w:rPr>
              <m:t>γ</m:t>
            </m:r>
            <m:r>
              <m:rPr>
                <m:sty m:val="p"/>
              </m:rPr>
              <w:rPr>
                <w:rFonts w:ascii="Cambria Math" w:hAnsi="Cambria Math" w:cs="Times New Roman"/>
              </w:rPr>
              <m:t>+</m:t>
            </m:r>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ctrlPr>
              <w:rPr>
                <w:rFonts w:ascii="Cambria Math" w:hAnsi="Cambria Math" w:cs="Times New Roman"/>
              </w:rPr>
            </m:ctrlPr>
          </m:e>
        </m:d>
        <m:r>
          <m:rPr>
            <m:sty m:val="p"/>
          </m:rPr>
          <w:rPr>
            <w:rFonts w:ascii="Cambria Math" w:hAnsi="Cambria Math" w:cs="Times New Roman"/>
          </w:rPr>
          <m:t xml:space="preserve"> × SST+ </m:t>
        </m:r>
        <m:sSub>
          <m:sSubPr>
            <m:ctrlPr>
              <w:rPr>
                <w:rFonts w:ascii="Cambria Math" w:hAnsi="Cambria Math" w:cs="Times New Roman"/>
              </w:rPr>
            </m:ctrlPr>
          </m:sSubPr>
          <m:e>
            <m:r>
              <m:rPr>
                <m:sty m:val="p"/>
              </m:rPr>
              <w:rPr>
                <w:rFonts w:ascii="Cambria Math" w:hAnsi="Cambria Math" w:cs="Times New Roman"/>
              </w:rPr>
              <m:t>δ</m:t>
            </m:r>
          </m:e>
          <m:sub>
            <m:r>
              <w:rPr>
                <w:rFonts w:ascii="Cambria Math" w:hAnsi="Cambria Math" w:cs="Times New Roman"/>
              </w:rPr>
              <m:t>era</m:t>
            </m:r>
          </m:sub>
        </m:sSub>
        <m:r>
          <m:rPr>
            <m:sty m:val="p"/>
          </m:rPr>
          <w:rPr>
            <w:rFonts w:ascii="Cambria Math" w:hAnsi="Cambria Math" w:cs="Times New Roman"/>
          </w:rPr>
          <m:t xml:space="preserve">+ </m:t>
        </m:r>
        <m:sSub>
          <m:sSubPr>
            <m:ctrlPr>
              <w:rPr>
                <w:rFonts w:ascii="Cambria Math" w:hAnsi="Cambria Math" w:cs="Times New Roman"/>
              </w:rPr>
            </m:ctrlPr>
          </m:sSubPr>
          <m:e>
            <m:r>
              <m:rPr>
                <m:sty m:val="p"/>
              </m:rPr>
              <w:rPr>
                <w:rFonts w:ascii="Cambria Math" w:hAnsi="Cambria Math" w:cs="Times New Roman"/>
              </w:rPr>
              <m:t>θ</m:t>
            </m:r>
          </m:e>
          <m:sub>
            <m:r>
              <w:rPr>
                <w:rFonts w:ascii="Cambria Math" w:hAnsi="Cambria Math" w:cs="Times New Roman"/>
              </w:rPr>
              <m:t>era</m:t>
            </m:r>
          </m:sub>
        </m:sSub>
        <m:r>
          <m:rPr>
            <m:sty m:val="p"/>
          </m:rPr>
          <w:rPr>
            <w:rFonts w:ascii="Cambria Math" w:hAnsi="Cambria Math" w:cs="Times New Roman"/>
          </w:rPr>
          <m:t xml:space="preserve"> × SST+ </m:t>
        </m:r>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i,t</m:t>
            </m:r>
          </m:sub>
        </m:sSub>
        <m:r>
          <w:rPr>
            <w:rFonts w:ascii="Cambria Math" w:hAnsi="Cambria Math" w:cs="Times New Roman"/>
          </w:rPr>
          <m:t xml:space="preserve"> </m:t>
        </m:r>
      </m:oMath>
      <w:r w:rsidR="00605935" w:rsidRPr="006D188A">
        <w:rPr>
          <w:rFonts w:ascii="Times New Roman" w:eastAsiaTheme="minorEastAsia" w:hAnsi="Times New Roman" w:cs="Times New Roman"/>
        </w:rPr>
        <w:t>,</w:t>
      </w:r>
    </w:p>
    <w:p w14:paraId="2FB75588" w14:textId="6549AC6F" w:rsidR="00605935" w:rsidRDefault="003612B4" w:rsidP="00A13BA5">
      <w:pPr>
        <w:spacing w:line="360" w:lineRule="auto"/>
        <w:rPr>
          <w:rFonts w:ascii="Times New Roman" w:hAnsi="Times New Roman" w:cs="Times New Roman"/>
        </w:rPr>
      </w:pPr>
      <w:r>
        <w:rPr>
          <w:rFonts w:ascii="Times New Roman" w:hAnsi="Times New Roman" w:cs="Times New Roman"/>
        </w:rPr>
        <w:t>w</w:t>
      </w:r>
      <w:r w:rsidR="00FE4E04">
        <w:rPr>
          <w:rFonts w:ascii="Times New Roman" w:hAnsi="Times New Roman" w:cs="Times New Roman"/>
        </w:rPr>
        <w:t xml:space="preserve">here R is the total number of recruits </w:t>
      </w:r>
      <w:r w:rsidR="008835F7">
        <w:rPr>
          <w:rFonts w:ascii="Times New Roman" w:hAnsi="Times New Roman" w:cs="Times New Roman"/>
        </w:rPr>
        <w:t>produced by a given brood year</w:t>
      </w:r>
      <w:r w:rsidR="00AF4FDF">
        <w:rPr>
          <w:rFonts w:ascii="Times New Roman" w:hAnsi="Times New Roman" w:cs="Times New Roman"/>
        </w:rPr>
        <w:t xml:space="preserve"> (</w:t>
      </w:r>
      <w:r w:rsidR="00AF4FDF" w:rsidRPr="0006406B">
        <w:rPr>
          <w:rFonts w:ascii="Times New Roman" w:hAnsi="Times New Roman" w:cs="Times New Roman"/>
          <w:i/>
        </w:rPr>
        <w:t>t</w:t>
      </w:r>
      <w:r w:rsidR="00AF4FDF">
        <w:rPr>
          <w:rFonts w:ascii="Times New Roman" w:hAnsi="Times New Roman" w:cs="Times New Roman"/>
        </w:rPr>
        <w:t>)</w:t>
      </w:r>
      <w:r w:rsidR="008835F7">
        <w:rPr>
          <w:rFonts w:ascii="Times New Roman" w:hAnsi="Times New Roman" w:cs="Times New Roman"/>
        </w:rPr>
        <w:t xml:space="preserve">, </w:t>
      </w:r>
      <m:oMath>
        <m:r>
          <w:rPr>
            <w:rFonts w:ascii="Cambria Math" w:hAnsi="Cambria Math" w:cs="Times New Roman"/>
          </w:rPr>
          <m:t>α</m:t>
        </m:r>
      </m:oMath>
      <w:r w:rsidR="008835F7">
        <w:rPr>
          <w:rFonts w:ascii="Times New Roman" w:eastAsiaTheme="minorEastAsia" w:hAnsi="Times New Roman" w:cs="Times New Roman"/>
        </w:rPr>
        <w:t xml:space="preserve"> is stock productivity across all stocks (fixed intercept), deviations from that overall productivity are modeled as stock-specific random effects </w:t>
      </w:r>
      <w:r w:rsidR="000A0803">
        <w:rPr>
          <w:rFonts w:ascii="Times New Roman" w:eastAsiaTheme="minorEastAsia" w:hAnsi="Times New Roman" w:cs="Times New Roman"/>
        </w:rPr>
        <w:t>(</w:t>
      </w:r>
      <m:oMath>
        <m:sSub>
          <m:sSubPr>
            <m:ctrlPr>
              <w:rPr>
                <w:rFonts w:ascii="Cambria Math" w:hAnsi="Cambria Math" w:cs="Times New Roman"/>
                <w:i/>
              </w:rPr>
            </m:ctrlPr>
          </m:sSubPr>
          <m:e>
            <m:r>
              <w:rPr>
                <w:rFonts w:ascii="Cambria Math" w:hAnsi="Cambria Math" w:cs="Times New Roman"/>
              </w:rPr>
              <m:t>a</m:t>
            </m:r>
          </m:e>
          <m:sub>
            <m:r>
              <w:rPr>
                <w:rFonts w:ascii="Cambria Math" w:hAnsi="Cambria Math" w:cs="Times New Roman"/>
              </w:rPr>
              <m:t>i</m:t>
            </m:r>
          </m:sub>
        </m:sSub>
      </m:oMath>
      <w:r w:rsidR="000A0803">
        <w:rPr>
          <w:rFonts w:ascii="Times New Roman" w:eastAsiaTheme="minorEastAsia" w:hAnsi="Times New Roman" w:cs="Times New Roman"/>
        </w:rPr>
        <w:t>)</w:t>
      </w:r>
      <w:r w:rsidR="008835F7">
        <w:rPr>
          <w:rFonts w:ascii="Times New Roman" w:eastAsiaTheme="minorEastAsia" w:hAnsi="Times New Roman" w:cs="Times New Roman"/>
        </w:rPr>
        <w:t xml:space="preserve">, </w:t>
      </w:r>
      <w:r w:rsidR="00032692">
        <w:rPr>
          <w:rFonts w:ascii="Times New Roman" w:eastAsiaTheme="minorEastAsia" w:hAnsi="Times New Roman" w:cs="Times New Roman"/>
        </w:rPr>
        <w:t xml:space="preserve">and </w:t>
      </w:r>
      <w:r w:rsidR="008835F7">
        <w:rPr>
          <w:rFonts w:ascii="Times New Roman" w:eastAsiaTheme="minorEastAsia" w:hAnsi="Times New Roman" w:cs="Times New Roman"/>
        </w:rPr>
        <w:t xml:space="preserve">density dependence is estimated through a stock-specific fixed effect </w:t>
      </w:r>
      <m:oMath>
        <m:r>
          <w:rPr>
            <w:rFonts w:ascii="Cambria Math" w:eastAsiaTheme="minorEastAsia" w:hAnsi="Cambria Math" w:cs="Times New Roman"/>
          </w:rPr>
          <m:t>(</m:t>
        </m:r>
        <m:sSub>
          <m:sSubPr>
            <m:ctrlPr>
              <w:rPr>
                <w:rFonts w:ascii="Cambria Math" w:hAnsi="Cambria Math" w:cs="Times New Roman"/>
                <w:i/>
              </w:rPr>
            </m:ctrlPr>
          </m:sSubPr>
          <m:e>
            <m:r>
              <w:rPr>
                <w:rFonts w:ascii="Cambria Math" w:hAnsi="Cambria Math" w:cs="Times New Roman"/>
              </w:rPr>
              <m:t>β</m:t>
            </m:r>
          </m:e>
          <m:sub>
            <m:r>
              <w:rPr>
                <w:rFonts w:ascii="Cambria Math" w:hAnsi="Cambria Math" w:cs="Times New Roman"/>
              </w:rPr>
              <m:t>i</m:t>
            </m:r>
          </m:sub>
        </m:sSub>
      </m:oMath>
      <w:r w:rsidR="008835F7">
        <w:rPr>
          <w:rFonts w:ascii="Times New Roman" w:eastAsiaTheme="minorEastAsia" w:hAnsi="Times New Roman" w:cs="Times New Roman"/>
        </w:rPr>
        <w:t>) for the number of spawners (</w:t>
      </w:r>
      <w:r w:rsidR="008835F7" w:rsidRPr="0006406B">
        <w:rPr>
          <w:rFonts w:ascii="Times New Roman" w:eastAsiaTheme="minorEastAsia" w:hAnsi="Times New Roman" w:cs="Times New Roman"/>
          <w:i/>
        </w:rPr>
        <w:t>S</w:t>
      </w:r>
      <w:r w:rsidR="00AF4FDF" w:rsidRPr="0006406B">
        <w:rPr>
          <w:rFonts w:ascii="Times New Roman" w:eastAsiaTheme="minorEastAsia" w:hAnsi="Times New Roman" w:cs="Times New Roman"/>
          <w:i/>
          <w:vertAlign w:val="subscript"/>
        </w:rPr>
        <w:t>t</w:t>
      </w:r>
      <w:r w:rsidR="008835F7">
        <w:rPr>
          <w:rFonts w:ascii="Times New Roman" w:eastAsiaTheme="minorEastAsia" w:hAnsi="Times New Roman" w:cs="Times New Roman"/>
        </w:rPr>
        <w:t>)</w:t>
      </w:r>
      <w:r w:rsidR="00364F2A">
        <w:rPr>
          <w:rFonts w:ascii="Times New Roman" w:eastAsiaTheme="minorEastAsia" w:hAnsi="Times New Roman" w:cs="Times New Roman"/>
        </w:rPr>
        <w:t>. Additionally,</w:t>
      </w:r>
      <w:r w:rsidR="008835F7">
        <w:rPr>
          <w:rFonts w:ascii="Times New Roman" w:eastAsiaTheme="minorEastAsia" w:hAnsi="Times New Roman" w:cs="Times New Roman"/>
        </w:rPr>
        <w:t xml:space="preserve"> an offset term for the log of spawners is used to avoid having </w:t>
      </w:r>
      <w:r w:rsidR="008835F7" w:rsidRPr="0006406B">
        <w:rPr>
          <w:rFonts w:ascii="Times New Roman" w:eastAsiaTheme="minorEastAsia" w:hAnsi="Times New Roman" w:cs="Times New Roman"/>
          <w:i/>
        </w:rPr>
        <w:t>S</w:t>
      </w:r>
      <w:r w:rsidR="00364F2A">
        <w:rPr>
          <w:rFonts w:ascii="Times New Roman" w:eastAsiaTheme="minorEastAsia" w:hAnsi="Times New Roman" w:cs="Times New Roman"/>
        </w:rPr>
        <w:t xml:space="preserve"> on both sides of the equation.</w:t>
      </w:r>
      <w:r w:rsidR="008835F7">
        <w:rPr>
          <w:rFonts w:ascii="Times New Roman" w:eastAsiaTheme="minorEastAsia" w:hAnsi="Times New Roman" w:cs="Times New Roman"/>
        </w:rPr>
        <w:t xml:space="preserve"> </w:t>
      </w:r>
      <w:r w:rsidR="00364F2A">
        <w:rPr>
          <w:rFonts w:ascii="Times New Roman" w:eastAsiaTheme="minorEastAsia" w:hAnsi="Times New Roman" w:cs="Times New Roman"/>
        </w:rPr>
        <w:t>O</w:t>
      </w:r>
      <w:r w:rsidR="008835F7">
        <w:rPr>
          <w:rFonts w:ascii="Times New Roman" w:eastAsiaTheme="minorEastAsia" w:hAnsi="Times New Roman" w:cs="Times New Roman"/>
        </w:rPr>
        <w:t xml:space="preserve">verall SST effects are estimated with the fixed effect </w:t>
      </w:r>
      <m:oMath>
        <m:r>
          <w:rPr>
            <w:rFonts w:ascii="Cambria Math" w:eastAsiaTheme="minorEastAsia" w:hAnsi="Cambria Math" w:cs="Times New Roman"/>
          </w:rPr>
          <m:t>γ</m:t>
        </m:r>
      </m:oMath>
      <w:r w:rsidR="008835F7">
        <w:rPr>
          <w:rFonts w:ascii="Times New Roman" w:eastAsiaTheme="minorEastAsia" w:hAnsi="Times New Roman" w:cs="Times New Roman"/>
        </w:rPr>
        <w:t xml:space="preserve"> </w:t>
      </w:r>
      <w:r w:rsidR="001B72BE">
        <w:rPr>
          <w:rFonts w:ascii="Times New Roman" w:eastAsiaTheme="minorEastAsia" w:hAnsi="Times New Roman" w:cs="Times New Roman"/>
        </w:rPr>
        <w:t xml:space="preserve">and stock-specific deviations estimated as the random term </w:t>
      </w:r>
      <m:oMath>
        <m:sSub>
          <m:sSubPr>
            <m:ctrlPr>
              <w:rPr>
                <w:rFonts w:ascii="Cambria Math" w:hAnsi="Cambria Math" w:cs="Times New Roman"/>
                <w:i/>
              </w:rPr>
            </m:ctrlPr>
          </m:sSubPr>
          <m:e>
            <m:r>
              <w:rPr>
                <w:rFonts w:ascii="Cambria Math" w:hAnsi="Cambria Math" w:cs="Times New Roman"/>
              </w:rPr>
              <m:t>g</m:t>
            </m:r>
          </m:e>
          <m:sub>
            <m:r>
              <w:rPr>
                <w:rFonts w:ascii="Cambria Math" w:hAnsi="Cambria Math" w:cs="Times New Roman"/>
              </w:rPr>
              <m:t>i</m:t>
            </m:r>
          </m:sub>
        </m:sSub>
      </m:oMath>
      <w:r w:rsidR="001B72BE">
        <w:rPr>
          <w:rFonts w:ascii="Times New Roman" w:eastAsiaTheme="minorEastAsia" w:hAnsi="Times New Roman" w:cs="Times New Roman"/>
        </w:rPr>
        <w:t xml:space="preserve">, overall era differences (1960-1988 vs. 1989-2012) are estimated as the fixed effect </w:t>
      </w:r>
      <m:oMath>
        <m:r>
          <m:rPr>
            <m:sty m:val="p"/>
          </m:rPr>
          <w:rPr>
            <w:rFonts w:ascii="Cambria Math" w:hAnsi="Cambria Math" w:cs="Times New Roman"/>
          </w:rPr>
          <m:t>δ</m:t>
        </m:r>
      </m:oMath>
      <w:r w:rsidR="001B72BE">
        <w:rPr>
          <w:rFonts w:ascii="Times New Roman" w:eastAsiaTheme="minorEastAsia" w:hAnsi="Times New Roman" w:cs="Times New Roman"/>
        </w:rPr>
        <w:t xml:space="preserve">, the difference in SST effects between eras is estimated with the fixed interaction term </w:t>
      </w:r>
      <m:oMath>
        <m:r>
          <m:rPr>
            <m:sty m:val="p"/>
          </m:rPr>
          <w:rPr>
            <w:rFonts w:ascii="Cambria Math" w:hAnsi="Cambria Math" w:cs="Times New Roman"/>
          </w:rPr>
          <m:t>θ</m:t>
        </m:r>
      </m:oMath>
      <w:r w:rsidR="001B72BE">
        <w:rPr>
          <w:rFonts w:ascii="Times New Roman" w:eastAsiaTheme="minorEastAsia" w:hAnsi="Times New Roman" w:cs="Times New Roman"/>
        </w:rPr>
        <w:t xml:space="preserve">, and errors </w:t>
      </w:r>
      <m:oMath>
        <m:sSub>
          <m:sSubPr>
            <m:ctrlPr>
              <w:rPr>
                <w:rFonts w:ascii="Cambria Math" w:hAnsi="Cambria Math" w:cs="Times New Roman"/>
              </w:rPr>
            </m:ctrlPr>
          </m:sSubPr>
          <m:e>
            <m:r>
              <w:rPr>
                <w:rFonts w:ascii="Cambria Math" w:hAnsi="Cambria Math" w:cs="Times New Roman"/>
              </w:rPr>
              <m:t>ε</m:t>
            </m:r>
          </m:e>
          <m:sub>
            <m:r>
              <w:rPr>
                <w:rFonts w:ascii="Cambria Math" w:hAnsi="Cambria Math" w:cs="Times New Roman"/>
              </w:rPr>
              <m:t>i</m:t>
            </m:r>
          </m:sub>
        </m:sSub>
      </m:oMath>
      <w:r w:rsidR="001B72BE">
        <w:rPr>
          <w:rFonts w:ascii="Times New Roman" w:eastAsiaTheme="minorEastAsia" w:hAnsi="Times New Roman" w:cs="Times New Roman"/>
        </w:rPr>
        <w:t xml:space="preserve"> are again modeled with first-order autocorrelation</w:t>
      </w:r>
      <w:r w:rsidR="0046118F">
        <w:rPr>
          <w:rFonts w:ascii="Times New Roman" w:eastAsiaTheme="minorEastAsia" w:hAnsi="Times New Roman" w:cs="Times New Roman"/>
        </w:rPr>
        <w:t>. We evaluated the robustness of our results to the use of this formulation with the offset spawners term by comparing with models using log(R/S) as the response variable and no offset term, and found no qualitative differe</w:t>
      </w:r>
      <w:r>
        <w:rPr>
          <w:rFonts w:ascii="Times New Roman" w:eastAsiaTheme="minorEastAsia" w:hAnsi="Times New Roman" w:cs="Times New Roman"/>
        </w:rPr>
        <w:t>nce in the support for non-stati</w:t>
      </w:r>
      <w:r w:rsidR="0046118F">
        <w:rPr>
          <w:rFonts w:ascii="Times New Roman" w:eastAsiaTheme="minorEastAsia" w:hAnsi="Times New Roman" w:cs="Times New Roman"/>
        </w:rPr>
        <w:t>onary SST effects (results not shown).</w:t>
      </w:r>
    </w:p>
    <w:p w14:paraId="2152866A" w14:textId="56690580" w:rsidR="00102B84" w:rsidRDefault="003870BD" w:rsidP="00A13BA5">
      <w:pPr>
        <w:spacing w:line="360" w:lineRule="auto"/>
        <w:ind w:firstLine="720"/>
        <w:rPr>
          <w:rFonts w:ascii="Times New Roman" w:hAnsi="Times New Roman" w:cs="Times New Roman"/>
          <w:b/>
        </w:rPr>
      </w:pPr>
      <w:r w:rsidRPr="009314B4">
        <w:rPr>
          <w:rFonts w:ascii="Times New Roman" w:hAnsi="Times New Roman" w:cs="Times New Roman"/>
        </w:rPr>
        <w:t xml:space="preserve">The environmental covariates in mixed-effects spawner-recruit models were SST anomalies from coastal 2º cells with centers within 500 km of the ocean entry point for each run. For pink salmon, these SST anomalies were averaged over </w:t>
      </w:r>
      <w:r w:rsidR="0041548F">
        <w:rPr>
          <w:rFonts w:ascii="Times New Roman" w:hAnsi="Times New Roman" w:cs="Times New Roman"/>
        </w:rPr>
        <w:t xml:space="preserve">January to September </w:t>
      </w:r>
      <w:r w:rsidRPr="009314B4">
        <w:rPr>
          <w:rFonts w:ascii="Times New Roman" w:hAnsi="Times New Roman" w:cs="Times New Roman"/>
        </w:rPr>
        <w:t>of</w:t>
      </w:r>
      <w:r w:rsidR="0041548F">
        <w:rPr>
          <w:rFonts w:ascii="Times New Roman" w:hAnsi="Times New Roman" w:cs="Times New Roman"/>
        </w:rPr>
        <w:t xml:space="preserve"> the</w:t>
      </w:r>
      <w:r w:rsidRPr="009314B4">
        <w:rPr>
          <w:rFonts w:ascii="Times New Roman" w:hAnsi="Times New Roman" w:cs="Times New Roman"/>
        </w:rPr>
        <w:t xml:space="preserve"> brood </w:t>
      </w:r>
      <w:r w:rsidRPr="009314B4">
        <w:rPr>
          <w:rFonts w:ascii="Times New Roman" w:hAnsi="Times New Roman" w:cs="Times New Roman"/>
        </w:rPr>
        <w:lastRenderedPageBreak/>
        <w:t>year (BY)</w:t>
      </w:r>
      <w:r>
        <w:rPr>
          <w:rFonts w:ascii="Times New Roman" w:hAnsi="Times New Roman" w:cs="Times New Roman"/>
        </w:rPr>
        <w:t xml:space="preserve"> </w:t>
      </w:r>
      <w:r w:rsidRPr="009314B4">
        <w:rPr>
          <w:rFonts w:ascii="Times New Roman" w:hAnsi="Times New Roman" w:cs="Times New Roman"/>
        </w:rPr>
        <w:t xml:space="preserve">+1. For sockeye salmon, SST anomalies were averaged over </w:t>
      </w:r>
      <w:r w:rsidR="0041548F">
        <w:rPr>
          <w:rFonts w:ascii="Times New Roman" w:hAnsi="Times New Roman" w:cs="Times New Roman"/>
        </w:rPr>
        <w:t xml:space="preserve">January and </w:t>
      </w:r>
      <w:r w:rsidR="00EF431A">
        <w:rPr>
          <w:rFonts w:ascii="Times New Roman" w:hAnsi="Times New Roman" w:cs="Times New Roman"/>
        </w:rPr>
        <w:t>February</w:t>
      </w:r>
      <w:r w:rsidRPr="009314B4">
        <w:rPr>
          <w:rFonts w:ascii="Times New Roman" w:hAnsi="Times New Roman" w:cs="Times New Roman"/>
        </w:rPr>
        <w:t xml:space="preserve"> of BY+1, </w:t>
      </w:r>
      <w:r w:rsidR="0041548F">
        <w:rPr>
          <w:rFonts w:ascii="Times New Roman" w:hAnsi="Times New Roman" w:cs="Times New Roman"/>
        </w:rPr>
        <w:t xml:space="preserve">January through December </w:t>
      </w:r>
      <w:r w:rsidR="00B26B79">
        <w:rPr>
          <w:rFonts w:ascii="Times New Roman" w:hAnsi="Times New Roman" w:cs="Times New Roman"/>
        </w:rPr>
        <w:t>(</w:t>
      </w:r>
      <w:r w:rsidR="00295384">
        <w:rPr>
          <w:rFonts w:ascii="Times New Roman" w:hAnsi="Times New Roman" w:cs="Times New Roman"/>
        </w:rPr>
        <w:t>excl</w:t>
      </w:r>
      <w:r w:rsidR="00B26B79">
        <w:rPr>
          <w:rFonts w:ascii="Times New Roman" w:hAnsi="Times New Roman" w:cs="Times New Roman"/>
        </w:rPr>
        <w:t>uding June and July)</w:t>
      </w:r>
      <w:r w:rsidR="00B26B79" w:rsidRPr="009314B4">
        <w:rPr>
          <w:rFonts w:ascii="Times New Roman" w:hAnsi="Times New Roman" w:cs="Times New Roman"/>
        </w:rPr>
        <w:t xml:space="preserve"> </w:t>
      </w:r>
      <w:r w:rsidRPr="009314B4">
        <w:rPr>
          <w:rFonts w:ascii="Times New Roman" w:hAnsi="Times New Roman" w:cs="Times New Roman"/>
        </w:rPr>
        <w:t>of BY</w:t>
      </w:r>
      <w:r>
        <w:rPr>
          <w:rFonts w:ascii="Times New Roman" w:hAnsi="Times New Roman" w:cs="Times New Roman"/>
        </w:rPr>
        <w:t xml:space="preserve"> </w:t>
      </w:r>
      <w:r w:rsidRPr="009314B4">
        <w:rPr>
          <w:rFonts w:ascii="Times New Roman" w:hAnsi="Times New Roman" w:cs="Times New Roman"/>
        </w:rPr>
        <w:t xml:space="preserve">+2, and </w:t>
      </w:r>
      <w:r w:rsidR="0041548F">
        <w:rPr>
          <w:rFonts w:ascii="Times New Roman" w:hAnsi="Times New Roman" w:cs="Times New Roman"/>
        </w:rPr>
        <w:t>January to May</w:t>
      </w:r>
      <w:r w:rsidRPr="009314B4">
        <w:rPr>
          <w:rFonts w:ascii="Times New Roman" w:hAnsi="Times New Roman" w:cs="Times New Roman"/>
        </w:rPr>
        <w:t xml:space="preserve"> of BY</w:t>
      </w:r>
      <w:r>
        <w:rPr>
          <w:rFonts w:ascii="Times New Roman" w:hAnsi="Times New Roman" w:cs="Times New Roman"/>
        </w:rPr>
        <w:t xml:space="preserve"> </w:t>
      </w:r>
      <w:r w:rsidRPr="009314B4">
        <w:rPr>
          <w:rFonts w:ascii="Times New Roman" w:hAnsi="Times New Roman" w:cs="Times New Roman"/>
        </w:rPr>
        <w:t xml:space="preserve">+3. </w:t>
      </w:r>
      <w:r w:rsidR="0041548F">
        <w:rPr>
          <w:rFonts w:ascii="Times New Roman" w:hAnsi="Times New Roman" w:cs="Times New Roman"/>
        </w:rPr>
        <w:t>For</w:t>
      </w:r>
      <w:r w:rsidRPr="009314B4">
        <w:rPr>
          <w:rFonts w:ascii="Times New Roman" w:hAnsi="Times New Roman" w:cs="Times New Roman"/>
        </w:rPr>
        <w:t xml:space="preserve"> chum salmon, SST anomalies were averaged over </w:t>
      </w:r>
      <w:r w:rsidR="0041548F">
        <w:rPr>
          <w:rFonts w:ascii="Times New Roman" w:hAnsi="Times New Roman" w:cs="Times New Roman"/>
        </w:rPr>
        <w:t>July through September</w:t>
      </w:r>
      <w:r w:rsidRPr="009314B4">
        <w:rPr>
          <w:rFonts w:ascii="Times New Roman" w:hAnsi="Times New Roman" w:cs="Times New Roman"/>
        </w:rPr>
        <w:t xml:space="preserve"> of BY</w:t>
      </w:r>
      <w:r>
        <w:rPr>
          <w:rFonts w:ascii="Times New Roman" w:hAnsi="Times New Roman" w:cs="Times New Roman"/>
        </w:rPr>
        <w:t xml:space="preserve"> </w:t>
      </w:r>
      <w:r w:rsidRPr="009314B4">
        <w:rPr>
          <w:rFonts w:ascii="Times New Roman" w:hAnsi="Times New Roman" w:cs="Times New Roman"/>
        </w:rPr>
        <w:t>+1. These months were chosen based on detailed analysis of monthly sensitivity of each species to SST variability</w:t>
      </w:r>
      <w:r>
        <w:rPr>
          <w:rFonts w:ascii="Times New Roman" w:hAnsi="Times New Roman" w:cs="Times New Roman"/>
        </w:rPr>
        <w:t xml:space="preserve"> </w:t>
      </w:r>
      <w:r w:rsidRPr="009314B4">
        <w:rPr>
          <w:rFonts w:ascii="Times New Roman" w:hAnsi="Times New Roman" w:cs="Times New Roman"/>
        </w:rPr>
        <w:fldChar w:fldCharType="begin" w:fldLock="1"/>
      </w:r>
      <w:r w:rsidR="00CE116A">
        <w:rPr>
          <w:rFonts w:ascii="Times New Roman" w:hAnsi="Times New Roman" w:cs="Times New Roman"/>
        </w:rPr>
        <w:instrText>ADDIN CSL_CITATION {"citationItems":[{"id":"ITEM-1","itemData":{"DOI":"10.1577/t-04-033.1","ISBN":"0002-8487","ISSN":"0002-8487","abstract":"We tested the hypothesis that survival rates from spawners to recruits in Pacific salmon Oncorhynchus spp. are primarily related to coastal ocean conditions during migration to the sea and soon after. We correlated measures of survival rate in units of log(e)(recruits/spawner) for 110 stocks of pink salmon O. gorbuscha, chum salmon O. keta, and sockeye salmon O. nerka with regional-scale indices of coastal sea surface temperature, sea surface salinity, and upwelling as well as with a large-scale index of ocean climate. We examined correlations by month and at multiple lags spanning the periods of spawning, freshwater residence, and early ocean residence of salmon. Survival rates of all three salmon species were related to ocean temperatures just prior to, during, and after out-migration, which are indicative of the early marine conditions experienced by juvenile salmon. This is consistent with the hypothesis that the early marine period is critical to the survival of juvenile salmon. However, survival rates of sockeye salmon were most strongly correlated with coastal sea surface temperature during freshwater residency (i.e., the winter and spring prior to out-migration). Survival rates of pink salmon were also related to sea surface salinity conditions prior to out-migration. There was no evidence for any relationship between the survival rates of salmon and coastal upwelling conditions. As in previous studies, we found that correlations between the survival rates of pink or sockeye salmon in Alaska and sea surface temperature have opposite signs from correlations for stocks in British Columbia and Washington at most lags and at both regional and large (basin-wide) spatial scales. In general, however, the measures of coastal ocean conditions that we examined explain a relatively small proportion of the environmentally induced variability in salmon survival rates.","author":[{"dropping-particle":"","family":"Mueter","given":"F J","non-dropping-particle":"","parse-names":false,"suffix":""},{"dropping-particle":"","family":"Pyper","given":"B J","non-dropping-particle":"","parse-names":false,"suffix":""},{"dropping-particle":"","family":"Peterman","given":"R M","non-dropping-particle":"","parse-names":false,"suffix":""}],"container-title":"Transactions of the American Fisheries Society","id":"ITEM-1","issue":"1","issued":{"date-parts":[["2005"]]},"note":"From Duplicate 1 (Relationships between coastal ocean conditions and survival rates of northeast Pacific salmon at multiple lags - Mueter, F J; Pyper, B J; Peterman, R M)\n\nTimes Cited: 31\nMueter, FJ Pyper, BJ Peterman, RM","page":"105-119","title":"Relationships between coastal ocean conditions and survival rates of northeast Pacific salmon at multiple lags","type":"article-journal","volume":"134"},"uris":["http://www.mendeley.com/documents/?uuid=38999623-565e-4f59-ac36-d7c3708f404c"]}],"mendeley":{"formattedCitation":"[10]","plainTextFormattedCitation":"[10]","previouslyFormattedCitation":"[10]"},"properties":{"noteIndex":0},"schema":"https://github.com/citation-style-language/schema/raw/master/csl-citation.json"}</w:instrText>
      </w:r>
      <w:r w:rsidRPr="009314B4">
        <w:rPr>
          <w:rFonts w:ascii="Times New Roman" w:hAnsi="Times New Roman" w:cs="Times New Roman"/>
        </w:rPr>
        <w:fldChar w:fldCharType="separate"/>
      </w:r>
      <w:r w:rsidRPr="003870BD">
        <w:rPr>
          <w:rFonts w:ascii="Times New Roman" w:hAnsi="Times New Roman" w:cs="Times New Roman"/>
          <w:noProof/>
        </w:rPr>
        <w:t>[10]</w:t>
      </w:r>
      <w:r w:rsidRPr="009314B4">
        <w:rPr>
          <w:rFonts w:ascii="Times New Roman" w:hAnsi="Times New Roman" w:cs="Times New Roman"/>
        </w:rPr>
        <w:fldChar w:fldCharType="end"/>
      </w:r>
      <w:r w:rsidRPr="009314B4">
        <w:rPr>
          <w:rFonts w:ascii="Times New Roman" w:hAnsi="Times New Roman" w:cs="Times New Roman"/>
        </w:rPr>
        <w:t xml:space="preserve">. However, </w:t>
      </w:r>
      <w:r w:rsidR="00B0081A">
        <w:rPr>
          <w:rFonts w:ascii="Times New Roman" w:hAnsi="Times New Roman" w:cs="Times New Roman"/>
        </w:rPr>
        <w:t>our</w:t>
      </w:r>
      <w:r w:rsidRPr="009314B4">
        <w:rPr>
          <w:rFonts w:ascii="Times New Roman" w:hAnsi="Times New Roman" w:cs="Times New Roman"/>
        </w:rPr>
        <w:t xml:space="preserve"> results are not sensitive to the exact timing of SST data used; similar results are obtained using winter SST (2- or 3-year means around ocean entry) or the PDO as covariates (results not shown).</w:t>
      </w:r>
      <w:r w:rsidR="00102B84">
        <w:rPr>
          <w:rFonts w:ascii="Times New Roman" w:hAnsi="Times New Roman" w:cs="Times New Roman"/>
          <w:b/>
        </w:rPr>
        <w:br w:type="page"/>
      </w:r>
    </w:p>
    <w:p w14:paraId="75FB4C73" w14:textId="77777777" w:rsidR="0009083C" w:rsidRPr="00673904" w:rsidRDefault="0009083C" w:rsidP="00032692">
      <w:pPr>
        <w:rPr>
          <w:rFonts w:ascii="Times New Roman" w:hAnsi="Times New Roman" w:cs="Times New Roman"/>
        </w:rPr>
      </w:pPr>
      <w:r w:rsidRPr="00673904">
        <w:rPr>
          <w:rFonts w:ascii="Times New Roman" w:hAnsi="Times New Roman" w:cs="Times New Roman"/>
          <w:b/>
        </w:rPr>
        <w:lastRenderedPageBreak/>
        <w:t xml:space="preserve">Table </w:t>
      </w:r>
      <w:r w:rsidR="00673904" w:rsidRPr="00673904">
        <w:rPr>
          <w:rFonts w:ascii="Times New Roman" w:hAnsi="Times New Roman" w:cs="Times New Roman"/>
          <w:b/>
        </w:rPr>
        <w:t>S1</w:t>
      </w:r>
      <w:r w:rsidRPr="00673904">
        <w:rPr>
          <w:rFonts w:ascii="Times New Roman" w:hAnsi="Times New Roman" w:cs="Times New Roman"/>
          <w:b/>
        </w:rPr>
        <w:t xml:space="preserve">. </w:t>
      </w:r>
      <w:r w:rsidRPr="00673904">
        <w:rPr>
          <w:rFonts w:ascii="Times New Roman" w:hAnsi="Times New Roman" w:cs="Times New Roman"/>
        </w:rPr>
        <w:t>Individual salmon runs used in analysis of spawner-recruit dynamics. Pink salmon runs were separated into odd and even year data for analysis, reflecting the fixed two-year life history of this species, and the resulting genetic isolation of odd and even year populations.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3515"/>
        <w:gridCol w:w="900"/>
        <w:gridCol w:w="1080"/>
        <w:gridCol w:w="1255"/>
        <w:gridCol w:w="661"/>
      </w:tblGrid>
      <w:tr w:rsidR="00A42D2E" w:rsidRPr="00673904" w14:paraId="469ECDEF" w14:textId="77777777" w:rsidTr="0006406B">
        <w:tc>
          <w:tcPr>
            <w:tcW w:w="985" w:type="dxa"/>
            <w:vAlign w:val="bottom"/>
          </w:tcPr>
          <w:p w14:paraId="44B0BD9B" w14:textId="77777777" w:rsidR="00A42D2E" w:rsidRPr="00673904" w:rsidRDefault="00A42D2E" w:rsidP="00A13BA5">
            <w:pPr>
              <w:spacing w:line="360" w:lineRule="auto"/>
              <w:rPr>
                <w:rFonts w:ascii="Times New Roman" w:hAnsi="Times New Roman" w:cs="Times New Roman"/>
                <w:b/>
                <w:sz w:val="20"/>
                <w:szCs w:val="20"/>
              </w:rPr>
            </w:pPr>
          </w:p>
        </w:tc>
        <w:tc>
          <w:tcPr>
            <w:tcW w:w="3515" w:type="dxa"/>
            <w:vAlign w:val="bottom"/>
          </w:tcPr>
          <w:p w14:paraId="4B66B774" w14:textId="77777777" w:rsidR="00A42D2E" w:rsidRPr="00673904" w:rsidRDefault="00A42D2E" w:rsidP="00A13BA5">
            <w:pPr>
              <w:spacing w:line="360" w:lineRule="auto"/>
              <w:rPr>
                <w:rFonts w:ascii="Times New Roman" w:hAnsi="Times New Roman" w:cs="Times New Roman"/>
                <w:b/>
                <w:sz w:val="20"/>
                <w:szCs w:val="20"/>
              </w:rPr>
            </w:pPr>
          </w:p>
        </w:tc>
        <w:tc>
          <w:tcPr>
            <w:tcW w:w="1980" w:type="dxa"/>
            <w:gridSpan w:val="2"/>
            <w:vAlign w:val="bottom"/>
          </w:tcPr>
          <w:p w14:paraId="3E98B64E" w14:textId="77777777" w:rsidR="00A42D2E" w:rsidRPr="00673904" w:rsidRDefault="00A42D2E" w:rsidP="00A13BA5">
            <w:pPr>
              <w:spacing w:line="360" w:lineRule="auto"/>
              <w:jc w:val="center"/>
              <w:rPr>
                <w:rFonts w:ascii="Times New Roman" w:hAnsi="Times New Roman" w:cs="Times New Roman"/>
                <w:b/>
                <w:sz w:val="20"/>
                <w:szCs w:val="20"/>
              </w:rPr>
            </w:pPr>
            <w:r>
              <w:rPr>
                <w:rFonts w:ascii="Times New Roman" w:hAnsi="Times New Roman" w:cs="Times New Roman"/>
                <w:b/>
                <w:sz w:val="20"/>
                <w:szCs w:val="20"/>
              </w:rPr>
              <w:t>Ocean entry point</w:t>
            </w:r>
          </w:p>
        </w:tc>
        <w:tc>
          <w:tcPr>
            <w:tcW w:w="1916" w:type="dxa"/>
            <w:gridSpan w:val="2"/>
            <w:vAlign w:val="bottom"/>
          </w:tcPr>
          <w:p w14:paraId="0396AE06" w14:textId="77777777" w:rsidR="00A42D2E" w:rsidRPr="00673904" w:rsidRDefault="00A42D2E" w:rsidP="00A13BA5">
            <w:pPr>
              <w:spacing w:line="360" w:lineRule="auto"/>
              <w:jc w:val="center"/>
              <w:rPr>
                <w:rFonts w:ascii="Times New Roman" w:hAnsi="Times New Roman" w:cs="Times New Roman"/>
                <w:b/>
                <w:sz w:val="20"/>
                <w:szCs w:val="20"/>
              </w:rPr>
            </w:pPr>
            <w:r>
              <w:rPr>
                <w:rFonts w:ascii="Times New Roman" w:hAnsi="Times New Roman" w:cs="Times New Roman"/>
                <w:b/>
                <w:sz w:val="20"/>
                <w:szCs w:val="20"/>
              </w:rPr>
              <w:t>Ocean entry years</w:t>
            </w:r>
          </w:p>
        </w:tc>
      </w:tr>
      <w:tr w:rsidR="0009083C" w:rsidRPr="00673904" w14:paraId="24A384F5" w14:textId="77777777" w:rsidTr="0006406B">
        <w:tc>
          <w:tcPr>
            <w:tcW w:w="985" w:type="dxa"/>
            <w:tcBorders>
              <w:bottom w:val="single" w:sz="4" w:space="0" w:color="auto"/>
            </w:tcBorders>
            <w:vAlign w:val="bottom"/>
          </w:tcPr>
          <w:p w14:paraId="554F14AD" w14:textId="77777777" w:rsidR="0009083C" w:rsidRPr="00673904" w:rsidRDefault="0009083C" w:rsidP="00A13BA5">
            <w:pPr>
              <w:spacing w:line="360" w:lineRule="auto"/>
              <w:rPr>
                <w:rFonts w:ascii="Times New Roman" w:hAnsi="Times New Roman" w:cs="Times New Roman"/>
                <w:b/>
                <w:sz w:val="20"/>
                <w:szCs w:val="20"/>
              </w:rPr>
            </w:pPr>
            <w:r w:rsidRPr="00673904">
              <w:rPr>
                <w:rFonts w:ascii="Times New Roman" w:hAnsi="Times New Roman" w:cs="Times New Roman"/>
                <w:b/>
                <w:sz w:val="20"/>
                <w:szCs w:val="20"/>
              </w:rPr>
              <w:t>Species</w:t>
            </w:r>
          </w:p>
        </w:tc>
        <w:tc>
          <w:tcPr>
            <w:tcW w:w="3515" w:type="dxa"/>
            <w:tcBorders>
              <w:bottom w:val="single" w:sz="4" w:space="0" w:color="auto"/>
            </w:tcBorders>
            <w:vAlign w:val="bottom"/>
          </w:tcPr>
          <w:p w14:paraId="55D91C4B" w14:textId="77777777" w:rsidR="0009083C" w:rsidRPr="00673904" w:rsidRDefault="0009083C" w:rsidP="00A13BA5">
            <w:pPr>
              <w:spacing w:line="360" w:lineRule="auto"/>
              <w:rPr>
                <w:rFonts w:ascii="Times New Roman" w:hAnsi="Times New Roman" w:cs="Times New Roman"/>
                <w:b/>
                <w:sz w:val="20"/>
                <w:szCs w:val="20"/>
              </w:rPr>
            </w:pPr>
            <w:r w:rsidRPr="00673904">
              <w:rPr>
                <w:rFonts w:ascii="Times New Roman" w:hAnsi="Times New Roman" w:cs="Times New Roman"/>
                <w:b/>
                <w:sz w:val="20"/>
                <w:szCs w:val="20"/>
              </w:rPr>
              <w:t>Run</w:t>
            </w:r>
          </w:p>
        </w:tc>
        <w:tc>
          <w:tcPr>
            <w:tcW w:w="900" w:type="dxa"/>
            <w:tcBorders>
              <w:bottom w:val="single" w:sz="4" w:space="0" w:color="auto"/>
            </w:tcBorders>
            <w:vAlign w:val="bottom"/>
          </w:tcPr>
          <w:p w14:paraId="051F5539" w14:textId="77777777" w:rsidR="0009083C" w:rsidRPr="00673904" w:rsidRDefault="0009083C" w:rsidP="00A13BA5">
            <w:pPr>
              <w:spacing w:line="360" w:lineRule="auto"/>
              <w:jc w:val="center"/>
              <w:rPr>
                <w:rFonts w:ascii="Times New Roman" w:hAnsi="Times New Roman" w:cs="Times New Roman"/>
                <w:b/>
                <w:sz w:val="20"/>
                <w:szCs w:val="20"/>
              </w:rPr>
            </w:pPr>
            <w:r w:rsidRPr="00673904">
              <w:rPr>
                <w:rFonts w:ascii="Times New Roman" w:hAnsi="Times New Roman" w:cs="Times New Roman"/>
                <w:b/>
                <w:sz w:val="20"/>
                <w:szCs w:val="20"/>
              </w:rPr>
              <w:t>ºN latitude</w:t>
            </w:r>
          </w:p>
        </w:tc>
        <w:tc>
          <w:tcPr>
            <w:tcW w:w="1080" w:type="dxa"/>
            <w:tcBorders>
              <w:bottom w:val="single" w:sz="4" w:space="0" w:color="auto"/>
            </w:tcBorders>
            <w:vAlign w:val="bottom"/>
          </w:tcPr>
          <w:p w14:paraId="1E15155F" w14:textId="77777777" w:rsidR="0009083C" w:rsidRPr="00673904" w:rsidRDefault="0009083C" w:rsidP="00A13BA5">
            <w:pPr>
              <w:spacing w:line="360" w:lineRule="auto"/>
              <w:jc w:val="center"/>
              <w:rPr>
                <w:rFonts w:ascii="Times New Roman" w:hAnsi="Times New Roman" w:cs="Times New Roman"/>
                <w:b/>
                <w:sz w:val="20"/>
                <w:szCs w:val="20"/>
              </w:rPr>
            </w:pPr>
            <w:r w:rsidRPr="00673904">
              <w:rPr>
                <w:rFonts w:ascii="Times New Roman" w:hAnsi="Times New Roman" w:cs="Times New Roman"/>
                <w:b/>
                <w:sz w:val="20"/>
                <w:szCs w:val="20"/>
              </w:rPr>
              <w:t>ºW longitude</w:t>
            </w:r>
          </w:p>
        </w:tc>
        <w:tc>
          <w:tcPr>
            <w:tcW w:w="1255" w:type="dxa"/>
            <w:tcBorders>
              <w:bottom w:val="single" w:sz="4" w:space="0" w:color="auto"/>
            </w:tcBorders>
            <w:vAlign w:val="bottom"/>
          </w:tcPr>
          <w:p w14:paraId="29E190B0" w14:textId="77777777" w:rsidR="0009083C" w:rsidRPr="00673904" w:rsidRDefault="0009083C" w:rsidP="00A13BA5">
            <w:pPr>
              <w:spacing w:line="360" w:lineRule="auto"/>
              <w:jc w:val="center"/>
              <w:rPr>
                <w:rFonts w:ascii="Times New Roman" w:hAnsi="Times New Roman" w:cs="Times New Roman"/>
                <w:b/>
                <w:sz w:val="20"/>
                <w:szCs w:val="20"/>
              </w:rPr>
            </w:pPr>
            <w:r w:rsidRPr="00673904">
              <w:rPr>
                <w:rFonts w:ascii="Times New Roman" w:hAnsi="Times New Roman" w:cs="Times New Roman"/>
                <w:b/>
                <w:sz w:val="20"/>
                <w:szCs w:val="20"/>
              </w:rPr>
              <w:t>Start</w:t>
            </w:r>
          </w:p>
        </w:tc>
        <w:tc>
          <w:tcPr>
            <w:tcW w:w="661" w:type="dxa"/>
            <w:tcBorders>
              <w:bottom w:val="single" w:sz="4" w:space="0" w:color="auto"/>
            </w:tcBorders>
            <w:vAlign w:val="bottom"/>
          </w:tcPr>
          <w:p w14:paraId="4D788C19" w14:textId="77777777" w:rsidR="0009083C" w:rsidRPr="00673904" w:rsidRDefault="0009083C" w:rsidP="00A13BA5">
            <w:pPr>
              <w:spacing w:line="360" w:lineRule="auto"/>
              <w:jc w:val="center"/>
              <w:rPr>
                <w:rFonts w:ascii="Times New Roman" w:hAnsi="Times New Roman" w:cs="Times New Roman"/>
                <w:b/>
                <w:sz w:val="20"/>
                <w:szCs w:val="20"/>
              </w:rPr>
            </w:pPr>
            <w:r w:rsidRPr="00673904">
              <w:rPr>
                <w:rFonts w:ascii="Times New Roman" w:hAnsi="Times New Roman" w:cs="Times New Roman"/>
                <w:b/>
                <w:sz w:val="20"/>
                <w:szCs w:val="20"/>
              </w:rPr>
              <w:t>End</w:t>
            </w:r>
          </w:p>
        </w:tc>
      </w:tr>
      <w:tr w:rsidR="0009083C" w:rsidRPr="00673904" w14:paraId="3BCE9033" w14:textId="77777777" w:rsidTr="0006406B">
        <w:tc>
          <w:tcPr>
            <w:tcW w:w="985" w:type="dxa"/>
            <w:tcBorders>
              <w:top w:val="single" w:sz="4" w:space="0" w:color="auto"/>
            </w:tcBorders>
            <w:vAlign w:val="bottom"/>
          </w:tcPr>
          <w:p w14:paraId="303077BB"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Pink</w:t>
            </w:r>
          </w:p>
        </w:tc>
        <w:tc>
          <w:tcPr>
            <w:tcW w:w="3515" w:type="dxa"/>
            <w:tcBorders>
              <w:top w:val="single" w:sz="4" w:space="0" w:color="auto"/>
            </w:tcBorders>
            <w:vAlign w:val="bottom"/>
          </w:tcPr>
          <w:p w14:paraId="4E6E1AC6"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Central Chignik</w:t>
            </w:r>
          </w:p>
        </w:tc>
        <w:tc>
          <w:tcPr>
            <w:tcW w:w="900" w:type="dxa"/>
            <w:tcBorders>
              <w:top w:val="single" w:sz="4" w:space="0" w:color="auto"/>
            </w:tcBorders>
            <w:vAlign w:val="bottom"/>
          </w:tcPr>
          <w:p w14:paraId="7105EF99"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56.60</w:t>
            </w:r>
          </w:p>
        </w:tc>
        <w:tc>
          <w:tcPr>
            <w:tcW w:w="1080" w:type="dxa"/>
            <w:tcBorders>
              <w:top w:val="single" w:sz="4" w:space="0" w:color="auto"/>
            </w:tcBorders>
            <w:vAlign w:val="bottom"/>
          </w:tcPr>
          <w:p w14:paraId="0BC5C057"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157.99</w:t>
            </w:r>
          </w:p>
        </w:tc>
        <w:tc>
          <w:tcPr>
            <w:tcW w:w="1255" w:type="dxa"/>
            <w:tcBorders>
              <w:top w:val="single" w:sz="4" w:space="0" w:color="auto"/>
            </w:tcBorders>
            <w:vAlign w:val="bottom"/>
          </w:tcPr>
          <w:p w14:paraId="3C70718B"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1962</w:t>
            </w:r>
          </w:p>
        </w:tc>
        <w:tc>
          <w:tcPr>
            <w:tcW w:w="661" w:type="dxa"/>
            <w:tcBorders>
              <w:top w:val="single" w:sz="4" w:space="0" w:color="auto"/>
            </w:tcBorders>
            <w:vAlign w:val="bottom"/>
          </w:tcPr>
          <w:p w14:paraId="40C0B438"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2009</w:t>
            </w:r>
          </w:p>
        </w:tc>
      </w:tr>
      <w:tr w:rsidR="0009083C" w:rsidRPr="00673904" w14:paraId="4C5EB616" w14:textId="77777777" w:rsidTr="0006406B">
        <w:tc>
          <w:tcPr>
            <w:tcW w:w="985" w:type="dxa"/>
            <w:vAlign w:val="bottom"/>
          </w:tcPr>
          <w:p w14:paraId="7E7ED5C8"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Pink</w:t>
            </w:r>
          </w:p>
        </w:tc>
        <w:tc>
          <w:tcPr>
            <w:tcW w:w="3515" w:type="dxa"/>
            <w:vAlign w:val="bottom"/>
          </w:tcPr>
          <w:p w14:paraId="62DC5104"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Chignik Bay</w:t>
            </w:r>
          </w:p>
        </w:tc>
        <w:tc>
          <w:tcPr>
            <w:tcW w:w="900" w:type="dxa"/>
            <w:vAlign w:val="bottom"/>
          </w:tcPr>
          <w:p w14:paraId="391CEDEE"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56.39</w:t>
            </w:r>
          </w:p>
        </w:tc>
        <w:tc>
          <w:tcPr>
            <w:tcW w:w="1080" w:type="dxa"/>
            <w:vAlign w:val="bottom"/>
          </w:tcPr>
          <w:p w14:paraId="25E09762"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158.23</w:t>
            </w:r>
          </w:p>
        </w:tc>
        <w:tc>
          <w:tcPr>
            <w:tcW w:w="1255" w:type="dxa"/>
            <w:vAlign w:val="bottom"/>
          </w:tcPr>
          <w:p w14:paraId="341C4EDD"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1962</w:t>
            </w:r>
          </w:p>
        </w:tc>
        <w:tc>
          <w:tcPr>
            <w:tcW w:w="661" w:type="dxa"/>
            <w:vAlign w:val="bottom"/>
          </w:tcPr>
          <w:p w14:paraId="3D0A39F8"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2009</w:t>
            </w:r>
          </w:p>
        </w:tc>
      </w:tr>
      <w:tr w:rsidR="0009083C" w:rsidRPr="00673904" w14:paraId="37958BFD" w14:textId="77777777" w:rsidTr="0006406B">
        <w:tc>
          <w:tcPr>
            <w:tcW w:w="985" w:type="dxa"/>
            <w:vAlign w:val="bottom"/>
          </w:tcPr>
          <w:p w14:paraId="687C3F69"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Pink</w:t>
            </w:r>
          </w:p>
        </w:tc>
        <w:tc>
          <w:tcPr>
            <w:tcW w:w="3515" w:type="dxa"/>
            <w:vAlign w:val="bottom"/>
          </w:tcPr>
          <w:p w14:paraId="01997BAF"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East Chignik</w:t>
            </w:r>
          </w:p>
        </w:tc>
        <w:tc>
          <w:tcPr>
            <w:tcW w:w="900" w:type="dxa"/>
            <w:vAlign w:val="bottom"/>
          </w:tcPr>
          <w:p w14:paraId="782AA88F"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56.99</w:t>
            </w:r>
          </w:p>
        </w:tc>
        <w:tc>
          <w:tcPr>
            <w:tcW w:w="1080" w:type="dxa"/>
            <w:vAlign w:val="bottom"/>
          </w:tcPr>
          <w:p w14:paraId="17917ACD"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156.58</w:t>
            </w:r>
          </w:p>
        </w:tc>
        <w:tc>
          <w:tcPr>
            <w:tcW w:w="1255" w:type="dxa"/>
            <w:vAlign w:val="bottom"/>
          </w:tcPr>
          <w:p w14:paraId="4320CB70"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1962</w:t>
            </w:r>
          </w:p>
        </w:tc>
        <w:tc>
          <w:tcPr>
            <w:tcW w:w="661" w:type="dxa"/>
            <w:vAlign w:val="bottom"/>
          </w:tcPr>
          <w:p w14:paraId="5C294DAB"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2009</w:t>
            </w:r>
          </w:p>
        </w:tc>
      </w:tr>
      <w:tr w:rsidR="0009083C" w:rsidRPr="00673904" w14:paraId="5DC0F945" w14:textId="77777777" w:rsidTr="0006406B">
        <w:tc>
          <w:tcPr>
            <w:tcW w:w="985" w:type="dxa"/>
            <w:vAlign w:val="bottom"/>
          </w:tcPr>
          <w:p w14:paraId="7F282DD7"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Pink</w:t>
            </w:r>
          </w:p>
        </w:tc>
        <w:tc>
          <w:tcPr>
            <w:tcW w:w="3515" w:type="dxa"/>
            <w:vAlign w:val="bottom"/>
          </w:tcPr>
          <w:p w14:paraId="43739581"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Northern Southeast Inside</w:t>
            </w:r>
          </w:p>
        </w:tc>
        <w:tc>
          <w:tcPr>
            <w:tcW w:w="900" w:type="dxa"/>
            <w:vAlign w:val="bottom"/>
          </w:tcPr>
          <w:p w14:paraId="443B4E34"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57.58</w:t>
            </w:r>
          </w:p>
        </w:tc>
        <w:tc>
          <w:tcPr>
            <w:tcW w:w="1080" w:type="dxa"/>
            <w:vAlign w:val="bottom"/>
          </w:tcPr>
          <w:p w14:paraId="323400A6"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134.75</w:t>
            </w:r>
          </w:p>
        </w:tc>
        <w:tc>
          <w:tcPr>
            <w:tcW w:w="1255" w:type="dxa"/>
            <w:vAlign w:val="bottom"/>
          </w:tcPr>
          <w:p w14:paraId="1009BF64"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1960</w:t>
            </w:r>
          </w:p>
        </w:tc>
        <w:tc>
          <w:tcPr>
            <w:tcW w:w="661" w:type="dxa"/>
            <w:vAlign w:val="bottom"/>
          </w:tcPr>
          <w:p w14:paraId="6100260F"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2008</w:t>
            </w:r>
          </w:p>
        </w:tc>
      </w:tr>
      <w:tr w:rsidR="0009083C" w:rsidRPr="00673904" w14:paraId="6FDAD9C2" w14:textId="77777777" w:rsidTr="0006406B">
        <w:tc>
          <w:tcPr>
            <w:tcW w:w="985" w:type="dxa"/>
            <w:vAlign w:val="bottom"/>
          </w:tcPr>
          <w:p w14:paraId="4F27B484"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Pink</w:t>
            </w:r>
          </w:p>
        </w:tc>
        <w:tc>
          <w:tcPr>
            <w:tcW w:w="3515" w:type="dxa"/>
            <w:vAlign w:val="bottom"/>
          </w:tcPr>
          <w:p w14:paraId="41450DBC"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Northern Southeast Outside</w:t>
            </w:r>
          </w:p>
        </w:tc>
        <w:tc>
          <w:tcPr>
            <w:tcW w:w="900" w:type="dxa"/>
            <w:vAlign w:val="bottom"/>
          </w:tcPr>
          <w:p w14:paraId="112CC0B6"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57.18</w:t>
            </w:r>
          </w:p>
        </w:tc>
        <w:tc>
          <w:tcPr>
            <w:tcW w:w="1080" w:type="dxa"/>
            <w:vAlign w:val="bottom"/>
          </w:tcPr>
          <w:p w14:paraId="7CE9D0AB"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135.79</w:t>
            </w:r>
          </w:p>
        </w:tc>
        <w:tc>
          <w:tcPr>
            <w:tcW w:w="1255" w:type="dxa"/>
            <w:vAlign w:val="bottom"/>
          </w:tcPr>
          <w:p w14:paraId="30F7260F"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1960</w:t>
            </w:r>
          </w:p>
        </w:tc>
        <w:tc>
          <w:tcPr>
            <w:tcW w:w="661" w:type="dxa"/>
            <w:vAlign w:val="bottom"/>
          </w:tcPr>
          <w:p w14:paraId="147BE3B2"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2008</w:t>
            </w:r>
          </w:p>
        </w:tc>
      </w:tr>
      <w:tr w:rsidR="0009083C" w:rsidRPr="00673904" w14:paraId="5F194077" w14:textId="77777777" w:rsidTr="0006406B">
        <w:tc>
          <w:tcPr>
            <w:tcW w:w="985" w:type="dxa"/>
            <w:vAlign w:val="bottom"/>
          </w:tcPr>
          <w:p w14:paraId="39E0ED39"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Pink</w:t>
            </w:r>
          </w:p>
        </w:tc>
        <w:tc>
          <w:tcPr>
            <w:tcW w:w="3515" w:type="dxa"/>
            <w:vAlign w:val="bottom"/>
          </w:tcPr>
          <w:p w14:paraId="04F98664"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Perryville</w:t>
            </w:r>
          </w:p>
        </w:tc>
        <w:tc>
          <w:tcPr>
            <w:tcW w:w="900" w:type="dxa"/>
            <w:vAlign w:val="bottom"/>
          </w:tcPr>
          <w:p w14:paraId="73A56645"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55.85</w:t>
            </w:r>
          </w:p>
        </w:tc>
        <w:tc>
          <w:tcPr>
            <w:tcW w:w="1080" w:type="dxa"/>
            <w:vAlign w:val="bottom"/>
          </w:tcPr>
          <w:p w14:paraId="2B514AE5"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159.33</w:t>
            </w:r>
          </w:p>
        </w:tc>
        <w:tc>
          <w:tcPr>
            <w:tcW w:w="1255" w:type="dxa"/>
            <w:vAlign w:val="bottom"/>
          </w:tcPr>
          <w:p w14:paraId="68B30755"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1962</w:t>
            </w:r>
          </w:p>
        </w:tc>
        <w:tc>
          <w:tcPr>
            <w:tcW w:w="661" w:type="dxa"/>
            <w:vAlign w:val="bottom"/>
          </w:tcPr>
          <w:p w14:paraId="372D4768"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2009</w:t>
            </w:r>
          </w:p>
        </w:tc>
      </w:tr>
      <w:tr w:rsidR="0009083C" w:rsidRPr="00673904" w14:paraId="155FBD74" w14:textId="77777777" w:rsidTr="0006406B">
        <w:tc>
          <w:tcPr>
            <w:tcW w:w="985" w:type="dxa"/>
            <w:vAlign w:val="bottom"/>
          </w:tcPr>
          <w:p w14:paraId="66CAED58"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Pink</w:t>
            </w:r>
          </w:p>
        </w:tc>
        <w:tc>
          <w:tcPr>
            <w:tcW w:w="3515" w:type="dxa"/>
            <w:vAlign w:val="bottom"/>
          </w:tcPr>
          <w:p w14:paraId="12003A30"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Southern Southeast</w:t>
            </w:r>
          </w:p>
        </w:tc>
        <w:tc>
          <w:tcPr>
            <w:tcW w:w="900" w:type="dxa"/>
            <w:vAlign w:val="bottom"/>
          </w:tcPr>
          <w:p w14:paraId="2DC50886"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55.72</w:t>
            </w:r>
          </w:p>
        </w:tc>
        <w:tc>
          <w:tcPr>
            <w:tcW w:w="1080" w:type="dxa"/>
            <w:vAlign w:val="bottom"/>
          </w:tcPr>
          <w:p w14:paraId="7AE4C249"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131.87</w:t>
            </w:r>
          </w:p>
        </w:tc>
        <w:tc>
          <w:tcPr>
            <w:tcW w:w="1255" w:type="dxa"/>
            <w:vAlign w:val="bottom"/>
          </w:tcPr>
          <w:p w14:paraId="34FE60E8"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1960</w:t>
            </w:r>
          </w:p>
        </w:tc>
        <w:tc>
          <w:tcPr>
            <w:tcW w:w="661" w:type="dxa"/>
            <w:vAlign w:val="bottom"/>
          </w:tcPr>
          <w:p w14:paraId="1DD87DD3"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2008</w:t>
            </w:r>
          </w:p>
        </w:tc>
      </w:tr>
      <w:tr w:rsidR="0009083C" w:rsidRPr="00673904" w14:paraId="15F2869A" w14:textId="77777777" w:rsidTr="0006406B">
        <w:tc>
          <w:tcPr>
            <w:tcW w:w="985" w:type="dxa"/>
            <w:vAlign w:val="bottom"/>
          </w:tcPr>
          <w:p w14:paraId="14F3CEA7"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Pink</w:t>
            </w:r>
          </w:p>
        </w:tc>
        <w:tc>
          <w:tcPr>
            <w:tcW w:w="3515" w:type="dxa"/>
            <w:vAlign w:val="bottom"/>
          </w:tcPr>
          <w:p w14:paraId="684BA964"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Southeast-southcentral Alaska Peninsula</w:t>
            </w:r>
          </w:p>
        </w:tc>
        <w:tc>
          <w:tcPr>
            <w:tcW w:w="900" w:type="dxa"/>
            <w:vAlign w:val="bottom"/>
          </w:tcPr>
          <w:p w14:paraId="39AE6188"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55.50</w:t>
            </w:r>
          </w:p>
        </w:tc>
        <w:tc>
          <w:tcPr>
            <w:tcW w:w="1080" w:type="dxa"/>
            <w:vAlign w:val="bottom"/>
          </w:tcPr>
          <w:p w14:paraId="71E07013"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161.00</w:t>
            </w:r>
          </w:p>
        </w:tc>
        <w:tc>
          <w:tcPr>
            <w:tcW w:w="1255" w:type="dxa"/>
            <w:vAlign w:val="bottom"/>
          </w:tcPr>
          <w:p w14:paraId="4A3888A8"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1962</w:t>
            </w:r>
          </w:p>
        </w:tc>
        <w:tc>
          <w:tcPr>
            <w:tcW w:w="661" w:type="dxa"/>
            <w:vAlign w:val="bottom"/>
          </w:tcPr>
          <w:p w14:paraId="75DF6354"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2009</w:t>
            </w:r>
          </w:p>
        </w:tc>
      </w:tr>
      <w:tr w:rsidR="0009083C" w:rsidRPr="00673904" w14:paraId="79C349BF" w14:textId="77777777" w:rsidTr="0006406B">
        <w:tc>
          <w:tcPr>
            <w:tcW w:w="985" w:type="dxa"/>
            <w:vAlign w:val="bottom"/>
          </w:tcPr>
          <w:p w14:paraId="142289CE"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Pink</w:t>
            </w:r>
          </w:p>
        </w:tc>
        <w:tc>
          <w:tcPr>
            <w:tcW w:w="3515" w:type="dxa"/>
            <w:vAlign w:val="bottom"/>
          </w:tcPr>
          <w:p w14:paraId="0C0D5EBC"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Southwest Alaska Peninsula - Unimak</w:t>
            </w:r>
          </w:p>
        </w:tc>
        <w:tc>
          <w:tcPr>
            <w:tcW w:w="900" w:type="dxa"/>
            <w:vAlign w:val="bottom"/>
          </w:tcPr>
          <w:p w14:paraId="77F7FCEE"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54.50</w:t>
            </w:r>
          </w:p>
        </w:tc>
        <w:tc>
          <w:tcPr>
            <w:tcW w:w="1080" w:type="dxa"/>
            <w:vAlign w:val="bottom"/>
          </w:tcPr>
          <w:p w14:paraId="7FAF1DDC"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163.50</w:t>
            </w:r>
          </w:p>
        </w:tc>
        <w:tc>
          <w:tcPr>
            <w:tcW w:w="1255" w:type="dxa"/>
            <w:vAlign w:val="bottom"/>
          </w:tcPr>
          <w:p w14:paraId="7C19743C"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1962</w:t>
            </w:r>
          </w:p>
        </w:tc>
        <w:tc>
          <w:tcPr>
            <w:tcW w:w="661" w:type="dxa"/>
            <w:vAlign w:val="bottom"/>
          </w:tcPr>
          <w:p w14:paraId="778D109D"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2009</w:t>
            </w:r>
          </w:p>
        </w:tc>
      </w:tr>
      <w:tr w:rsidR="0009083C" w:rsidRPr="00673904" w14:paraId="7ED79562" w14:textId="77777777" w:rsidTr="0006406B">
        <w:tc>
          <w:tcPr>
            <w:tcW w:w="985" w:type="dxa"/>
            <w:vAlign w:val="bottom"/>
          </w:tcPr>
          <w:p w14:paraId="53F1282F"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Pink</w:t>
            </w:r>
          </w:p>
        </w:tc>
        <w:tc>
          <w:tcPr>
            <w:tcW w:w="3515" w:type="dxa"/>
            <w:vAlign w:val="bottom"/>
          </w:tcPr>
          <w:p w14:paraId="659F8065"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West Chignik</w:t>
            </w:r>
          </w:p>
        </w:tc>
        <w:tc>
          <w:tcPr>
            <w:tcW w:w="900" w:type="dxa"/>
            <w:vAlign w:val="bottom"/>
          </w:tcPr>
          <w:p w14:paraId="330D7D0E"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56.07</w:t>
            </w:r>
          </w:p>
        </w:tc>
        <w:tc>
          <w:tcPr>
            <w:tcW w:w="1080" w:type="dxa"/>
            <w:vAlign w:val="bottom"/>
          </w:tcPr>
          <w:p w14:paraId="27835E2D"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158.68</w:t>
            </w:r>
          </w:p>
        </w:tc>
        <w:tc>
          <w:tcPr>
            <w:tcW w:w="1255" w:type="dxa"/>
            <w:vAlign w:val="bottom"/>
          </w:tcPr>
          <w:p w14:paraId="75C0A0E3"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1962</w:t>
            </w:r>
          </w:p>
        </w:tc>
        <w:tc>
          <w:tcPr>
            <w:tcW w:w="661" w:type="dxa"/>
            <w:vAlign w:val="bottom"/>
          </w:tcPr>
          <w:p w14:paraId="79E91BAC"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2009</w:t>
            </w:r>
          </w:p>
        </w:tc>
      </w:tr>
      <w:tr w:rsidR="0009083C" w:rsidRPr="00673904" w14:paraId="6EA5B4B1" w14:textId="77777777" w:rsidTr="0006406B">
        <w:tc>
          <w:tcPr>
            <w:tcW w:w="985" w:type="dxa"/>
            <w:vAlign w:val="bottom"/>
          </w:tcPr>
          <w:p w14:paraId="2F8AD334"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Sockeye</w:t>
            </w:r>
          </w:p>
        </w:tc>
        <w:tc>
          <w:tcPr>
            <w:tcW w:w="3515" w:type="dxa"/>
            <w:vAlign w:val="bottom"/>
          </w:tcPr>
          <w:p w14:paraId="7BD53C71"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Ayakulik</w:t>
            </w:r>
          </w:p>
        </w:tc>
        <w:tc>
          <w:tcPr>
            <w:tcW w:w="900" w:type="dxa"/>
            <w:vAlign w:val="bottom"/>
          </w:tcPr>
          <w:p w14:paraId="3E7CB0FD"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57.20</w:t>
            </w:r>
          </w:p>
        </w:tc>
        <w:tc>
          <w:tcPr>
            <w:tcW w:w="1080" w:type="dxa"/>
            <w:vAlign w:val="bottom"/>
          </w:tcPr>
          <w:p w14:paraId="509EB027"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154.54</w:t>
            </w:r>
          </w:p>
        </w:tc>
        <w:tc>
          <w:tcPr>
            <w:tcW w:w="1255" w:type="dxa"/>
            <w:vAlign w:val="bottom"/>
          </w:tcPr>
          <w:p w14:paraId="72D8A4A0"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1966</w:t>
            </w:r>
          </w:p>
        </w:tc>
        <w:tc>
          <w:tcPr>
            <w:tcW w:w="661" w:type="dxa"/>
            <w:vAlign w:val="bottom"/>
          </w:tcPr>
          <w:p w14:paraId="7C3093DE"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2008</w:t>
            </w:r>
          </w:p>
        </w:tc>
      </w:tr>
      <w:tr w:rsidR="0009083C" w:rsidRPr="00673904" w14:paraId="414A0404" w14:textId="77777777" w:rsidTr="0006406B">
        <w:tc>
          <w:tcPr>
            <w:tcW w:w="985" w:type="dxa"/>
            <w:vAlign w:val="bottom"/>
          </w:tcPr>
          <w:p w14:paraId="6611CCAE"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Sockeye</w:t>
            </w:r>
          </w:p>
        </w:tc>
        <w:tc>
          <w:tcPr>
            <w:tcW w:w="3515" w:type="dxa"/>
            <w:vAlign w:val="bottom"/>
          </w:tcPr>
          <w:p w14:paraId="53E61C15"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Black Lake</w:t>
            </w:r>
          </w:p>
        </w:tc>
        <w:tc>
          <w:tcPr>
            <w:tcW w:w="900" w:type="dxa"/>
            <w:vAlign w:val="bottom"/>
          </w:tcPr>
          <w:p w14:paraId="3DD0288C"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56.28</w:t>
            </w:r>
          </w:p>
        </w:tc>
        <w:tc>
          <w:tcPr>
            <w:tcW w:w="1080" w:type="dxa"/>
            <w:vAlign w:val="bottom"/>
          </w:tcPr>
          <w:p w14:paraId="75B0514E"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158.64</w:t>
            </w:r>
          </w:p>
        </w:tc>
        <w:tc>
          <w:tcPr>
            <w:tcW w:w="1255" w:type="dxa"/>
            <w:vAlign w:val="bottom"/>
          </w:tcPr>
          <w:p w14:paraId="082C245C"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1960</w:t>
            </w:r>
          </w:p>
        </w:tc>
        <w:tc>
          <w:tcPr>
            <w:tcW w:w="661" w:type="dxa"/>
            <w:vAlign w:val="bottom"/>
          </w:tcPr>
          <w:p w14:paraId="207B9D30"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2006</w:t>
            </w:r>
          </w:p>
        </w:tc>
      </w:tr>
      <w:tr w:rsidR="0009083C" w:rsidRPr="00673904" w14:paraId="737F0BC9" w14:textId="77777777" w:rsidTr="0006406B">
        <w:tc>
          <w:tcPr>
            <w:tcW w:w="985" w:type="dxa"/>
            <w:vAlign w:val="bottom"/>
          </w:tcPr>
          <w:p w14:paraId="4F88F587"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Sockeye</w:t>
            </w:r>
          </w:p>
        </w:tc>
        <w:tc>
          <w:tcPr>
            <w:tcW w:w="3515" w:type="dxa"/>
            <w:vAlign w:val="bottom"/>
          </w:tcPr>
          <w:p w14:paraId="54402158"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Chignik Lake</w:t>
            </w:r>
          </w:p>
        </w:tc>
        <w:tc>
          <w:tcPr>
            <w:tcW w:w="900" w:type="dxa"/>
            <w:vAlign w:val="bottom"/>
          </w:tcPr>
          <w:p w14:paraId="3B4C1CFD"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56.28</w:t>
            </w:r>
          </w:p>
        </w:tc>
        <w:tc>
          <w:tcPr>
            <w:tcW w:w="1080" w:type="dxa"/>
            <w:vAlign w:val="bottom"/>
          </w:tcPr>
          <w:p w14:paraId="7200DE96"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158.64</w:t>
            </w:r>
          </w:p>
        </w:tc>
        <w:tc>
          <w:tcPr>
            <w:tcW w:w="1255" w:type="dxa"/>
            <w:vAlign w:val="bottom"/>
          </w:tcPr>
          <w:p w14:paraId="2668280A"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1960</w:t>
            </w:r>
          </w:p>
        </w:tc>
        <w:tc>
          <w:tcPr>
            <w:tcW w:w="661" w:type="dxa"/>
            <w:vAlign w:val="bottom"/>
          </w:tcPr>
          <w:p w14:paraId="04D4D1BE"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2006</w:t>
            </w:r>
          </w:p>
        </w:tc>
      </w:tr>
      <w:tr w:rsidR="0009083C" w:rsidRPr="00673904" w14:paraId="730E4240" w14:textId="77777777" w:rsidTr="0006406B">
        <w:tc>
          <w:tcPr>
            <w:tcW w:w="985" w:type="dxa"/>
            <w:vAlign w:val="bottom"/>
          </w:tcPr>
          <w:p w14:paraId="6BF40CD6"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Sockeye</w:t>
            </w:r>
          </w:p>
        </w:tc>
        <w:tc>
          <w:tcPr>
            <w:tcW w:w="3515" w:type="dxa"/>
            <w:vAlign w:val="bottom"/>
          </w:tcPr>
          <w:p w14:paraId="0C9D6076"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Early Upper Station</w:t>
            </w:r>
          </w:p>
        </w:tc>
        <w:tc>
          <w:tcPr>
            <w:tcW w:w="900" w:type="dxa"/>
            <w:vAlign w:val="bottom"/>
          </w:tcPr>
          <w:p w14:paraId="0C8A45F1"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57.06</w:t>
            </w:r>
          </w:p>
        </w:tc>
        <w:tc>
          <w:tcPr>
            <w:tcW w:w="1080" w:type="dxa"/>
            <w:vAlign w:val="bottom"/>
          </w:tcPr>
          <w:p w14:paraId="2FA9F56F"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154.36</w:t>
            </w:r>
          </w:p>
        </w:tc>
        <w:tc>
          <w:tcPr>
            <w:tcW w:w="1255" w:type="dxa"/>
            <w:vAlign w:val="bottom"/>
          </w:tcPr>
          <w:p w14:paraId="263976B9"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1969</w:t>
            </w:r>
          </w:p>
        </w:tc>
        <w:tc>
          <w:tcPr>
            <w:tcW w:w="661" w:type="dxa"/>
            <w:vAlign w:val="bottom"/>
          </w:tcPr>
          <w:p w14:paraId="058C510E"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2008</w:t>
            </w:r>
          </w:p>
        </w:tc>
      </w:tr>
      <w:tr w:rsidR="0009083C" w:rsidRPr="00673904" w14:paraId="19C5371D" w14:textId="77777777" w:rsidTr="0006406B">
        <w:tc>
          <w:tcPr>
            <w:tcW w:w="985" w:type="dxa"/>
            <w:vAlign w:val="bottom"/>
          </w:tcPr>
          <w:p w14:paraId="05108BFD"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Sockeye</w:t>
            </w:r>
          </w:p>
        </w:tc>
        <w:tc>
          <w:tcPr>
            <w:tcW w:w="3515" w:type="dxa"/>
            <w:vAlign w:val="bottom"/>
          </w:tcPr>
          <w:p w14:paraId="66D70A67"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Frazer </w:t>
            </w:r>
          </w:p>
        </w:tc>
        <w:tc>
          <w:tcPr>
            <w:tcW w:w="900" w:type="dxa"/>
            <w:vAlign w:val="bottom"/>
          </w:tcPr>
          <w:p w14:paraId="62B6F2AC"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57.13</w:t>
            </w:r>
          </w:p>
        </w:tc>
        <w:tc>
          <w:tcPr>
            <w:tcW w:w="1080" w:type="dxa"/>
            <w:vAlign w:val="bottom"/>
          </w:tcPr>
          <w:p w14:paraId="1F88A7D9"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154.04</w:t>
            </w:r>
          </w:p>
        </w:tc>
        <w:tc>
          <w:tcPr>
            <w:tcW w:w="1255" w:type="dxa"/>
            <w:vAlign w:val="bottom"/>
          </w:tcPr>
          <w:p w14:paraId="589BF0DE"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1966</w:t>
            </w:r>
          </w:p>
        </w:tc>
        <w:tc>
          <w:tcPr>
            <w:tcW w:w="661" w:type="dxa"/>
            <w:vAlign w:val="bottom"/>
          </w:tcPr>
          <w:p w14:paraId="717467F6"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2008</w:t>
            </w:r>
          </w:p>
        </w:tc>
      </w:tr>
      <w:tr w:rsidR="0009083C" w:rsidRPr="00673904" w14:paraId="28694C9C" w14:textId="77777777" w:rsidTr="0006406B">
        <w:tc>
          <w:tcPr>
            <w:tcW w:w="985" w:type="dxa"/>
            <w:vAlign w:val="bottom"/>
          </w:tcPr>
          <w:p w14:paraId="3DE018FE"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Sockeye</w:t>
            </w:r>
          </w:p>
        </w:tc>
        <w:tc>
          <w:tcPr>
            <w:tcW w:w="3515" w:type="dxa"/>
            <w:vAlign w:val="bottom"/>
          </w:tcPr>
          <w:p w14:paraId="592BB0B9"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Kasilof</w:t>
            </w:r>
          </w:p>
        </w:tc>
        <w:tc>
          <w:tcPr>
            <w:tcW w:w="900" w:type="dxa"/>
            <w:vAlign w:val="bottom"/>
          </w:tcPr>
          <w:p w14:paraId="7C278AFC"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60.39</w:t>
            </w:r>
          </w:p>
        </w:tc>
        <w:tc>
          <w:tcPr>
            <w:tcW w:w="1080" w:type="dxa"/>
            <w:vAlign w:val="bottom"/>
          </w:tcPr>
          <w:p w14:paraId="140BE753"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151.30</w:t>
            </w:r>
          </w:p>
        </w:tc>
        <w:tc>
          <w:tcPr>
            <w:tcW w:w="1255" w:type="dxa"/>
            <w:vAlign w:val="bottom"/>
          </w:tcPr>
          <w:p w14:paraId="27B625B5"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1969</w:t>
            </w:r>
          </w:p>
        </w:tc>
        <w:tc>
          <w:tcPr>
            <w:tcW w:w="661" w:type="dxa"/>
            <w:vAlign w:val="bottom"/>
          </w:tcPr>
          <w:p w14:paraId="11D16055"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2009</w:t>
            </w:r>
          </w:p>
        </w:tc>
      </w:tr>
      <w:tr w:rsidR="0009083C" w:rsidRPr="00673904" w14:paraId="0043F006" w14:textId="77777777" w:rsidTr="0006406B">
        <w:tc>
          <w:tcPr>
            <w:tcW w:w="985" w:type="dxa"/>
            <w:vAlign w:val="bottom"/>
          </w:tcPr>
          <w:p w14:paraId="6AACCB32"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Sockeye</w:t>
            </w:r>
          </w:p>
        </w:tc>
        <w:tc>
          <w:tcPr>
            <w:tcW w:w="3515" w:type="dxa"/>
            <w:vAlign w:val="bottom"/>
          </w:tcPr>
          <w:p w14:paraId="01FC24CB"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Kenai</w:t>
            </w:r>
          </w:p>
        </w:tc>
        <w:tc>
          <w:tcPr>
            <w:tcW w:w="900" w:type="dxa"/>
            <w:vAlign w:val="bottom"/>
          </w:tcPr>
          <w:p w14:paraId="411C3B3D"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60.54</w:t>
            </w:r>
          </w:p>
        </w:tc>
        <w:tc>
          <w:tcPr>
            <w:tcW w:w="1080" w:type="dxa"/>
            <w:vAlign w:val="bottom"/>
          </w:tcPr>
          <w:p w14:paraId="7319758A"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151.28</w:t>
            </w:r>
          </w:p>
        </w:tc>
        <w:tc>
          <w:tcPr>
            <w:tcW w:w="1255" w:type="dxa"/>
            <w:vAlign w:val="bottom"/>
          </w:tcPr>
          <w:p w14:paraId="32BF32EF"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1969</w:t>
            </w:r>
          </w:p>
        </w:tc>
        <w:tc>
          <w:tcPr>
            <w:tcW w:w="661" w:type="dxa"/>
            <w:vAlign w:val="bottom"/>
          </w:tcPr>
          <w:p w14:paraId="6C11C1C7"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2009</w:t>
            </w:r>
          </w:p>
        </w:tc>
      </w:tr>
      <w:tr w:rsidR="0009083C" w:rsidRPr="00673904" w14:paraId="6926A54F" w14:textId="77777777" w:rsidTr="0006406B">
        <w:tc>
          <w:tcPr>
            <w:tcW w:w="985" w:type="dxa"/>
            <w:vAlign w:val="bottom"/>
          </w:tcPr>
          <w:p w14:paraId="495BCC0E"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Sockeye</w:t>
            </w:r>
          </w:p>
        </w:tc>
        <w:tc>
          <w:tcPr>
            <w:tcW w:w="3515" w:type="dxa"/>
            <w:vAlign w:val="bottom"/>
          </w:tcPr>
          <w:p w14:paraId="61AFFF90"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Late Upper Station</w:t>
            </w:r>
          </w:p>
        </w:tc>
        <w:tc>
          <w:tcPr>
            <w:tcW w:w="900" w:type="dxa"/>
            <w:vAlign w:val="bottom"/>
          </w:tcPr>
          <w:p w14:paraId="37EC34AB"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57.06</w:t>
            </w:r>
          </w:p>
        </w:tc>
        <w:tc>
          <w:tcPr>
            <w:tcW w:w="1080" w:type="dxa"/>
            <w:vAlign w:val="bottom"/>
          </w:tcPr>
          <w:p w14:paraId="7BAD5989"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154.36</w:t>
            </w:r>
          </w:p>
        </w:tc>
        <w:tc>
          <w:tcPr>
            <w:tcW w:w="1255" w:type="dxa"/>
            <w:vAlign w:val="bottom"/>
          </w:tcPr>
          <w:p w14:paraId="4450DFAB"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1970</w:t>
            </w:r>
          </w:p>
        </w:tc>
        <w:tc>
          <w:tcPr>
            <w:tcW w:w="661" w:type="dxa"/>
            <w:vAlign w:val="bottom"/>
          </w:tcPr>
          <w:p w14:paraId="6DA1898C"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2009</w:t>
            </w:r>
          </w:p>
        </w:tc>
      </w:tr>
      <w:tr w:rsidR="0009083C" w:rsidRPr="00673904" w14:paraId="50B0397B" w14:textId="77777777" w:rsidTr="0006406B">
        <w:tc>
          <w:tcPr>
            <w:tcW w:w="985" w:type="dxa"/>
            <w:vAlign w:val="bottom"/>
          </w:tcPr>
          <w:p w14:paraId="0AA0C5CF"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Sockeye</w:t>
            </w:r>
          </w:p>
        </w:tc>
        <w:tc>
          <w:tcPr>
            <w:tcW w:w="3515" w:type="dxa"/>
            <w:vAlign w:val="bottom"/>
          </w:tcPr>
          <w:p w14:paraId="54D13E36"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Russian River</w:t>
            </w:r>
          </w:p>
        </w:tc>
        <w:tc>
          <w:tcPr>
            <w:tcW w:w="900" w:type="dxa"/>
            <w:vAlign w:val="bottom"/>
          </w:tcPr>
          <w:p w14:paraId="7A4C774E"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60.54</w:t>
            </w:r>
          </w:p>
        </w:tc>
        <w:tc>
          <w:tcPr>
            <w:tcW w:w="1080" w:type="dxa"/>
            <w:vAlign w:val="bottom"/>
          </w:tcPr>
          <w:p w14:paraId="6289D56F"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151.28</w:t>
            </w:r>
          </w:p>
        </w:tc>
        <w:tc>
          <w:tcPr>
            <w:tcW w:w="1255" w:type="dxa"/>
            <w:vAlign w:val="bottom"/>
          </w:tcPr>
          <w:p w14:paraId="5CCDE4F4"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1965</w:t>
            </w:r>
          </w:p>
        </w:tc>
        <w:tc>
          <w:tcPr>
            <w:tcW w:w="661" w:type="dxa"/>
            <w:vAlign w:val="bottom"/>
          </w:tcPr>
          <w:p w14:paraId="61D5587A"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2007</w:t>
            </w:r>
          </w:p>
        </w:tc>
      </w:tr>
      <w:tr w:rsidR="0009083C" w:rsidRPr="00673904" w14:paraId="058D53A1" w14:textId="77777777" w:rsidTr="0006406B">
        <w:tc>
          <w:tcPr>
            <w:tcW w:w="985" w:type="dxa"/>
            <w:vAlign w:val="bottom"/>
          </w:tcPr>
          <w:p w14:paraId="1399F283"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Chum</w:t>
            </w:r>
          </w:p>
        </w:tc>
        <w:tc>
          <w:tcPr>
            <w:tcW w:w="3515" w:type="dxa"/>
            <w:vAlign w:val="bottom"/>
          </w:tcPr>
          <w:p w14:paraId="13F9425E"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Central Chignik</w:t>
            </w:r>
          </w:p>
        </w:tc>
        <w:tc>
          <w:tcPr>
            <w:tcW w:w="900" w:type="dxa"/>
            <w:vAlign w:val="bottom"/>
          </w:tcPr>
          <w:p w14:paraId="5C73BB28"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56.60</w:t>
            </w:r>
          </w:p>
        </w:tc>
        <w:tc>
          <w:tcPr>
            <w:tcW w:w="1080" w:type="dxa"/>
            <w:vAlign w:val="bottom"/>
          </w:tcPr>
          <w:p w14:paraId="5EDFD169"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157.99</w:t>
            </w:r>
          </w:p>
        </w:tc>
        <w:tc>
          <w:tcPr>
            <w:tcW w:w="1255" w:type="dxa"/>
            <w:vAlign w:val="bottom"/>
          </w:tcPr>
          <w:p w14:paraId="4B7187DB"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1962</w:t>
            </w:r>
          </w:p>
        </w:tc>
        <w:tc>
          <w:tcPr>
            <w:tcW w:w="661" w:type="dxa"/>
            <w:vAlign w:val="bottom"/>
          </w:tcPr>
          <w:p w14:paraId="5D75A6D0"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2007</w:t>
            </w:r>
          </w:p>
        </w:tc>
      </w:tr>
      <w:tr w:rsidR="0009083C" w:rsidRPr="00673904" w14:paraId="5B80A88E" w14:textId="77777777" w:rsidTr="0006406B">
        <w:tc>
          <w:tcPr>
            <w:tcW w:w="985" w:type="dxa"/>
            <w:vAlign w:val="bottom"/>
          </w:tcPr>
          <w:p w14:paraId="19CE07B4"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Chum</w:t>
            </w:r>
          </w:p>
        </w:tc>
        <w:tc>
          <w:tcPr>
            <w:tcW w:w="3515" w:type="dxa"/>
            <w:vAlign w:val="bottom"/>
          </w:tcPr>
          <w:p w14:paraId="100A516C"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East Chignik</w:t>
            </w:r>
          </w:p>
        </w:tc>
        <w:tc>
          <w:tcPr>
            <w:tcW w:w="900" w:type="dxa"/>
            <w:vAlign w:val="bottom"/>
          </w:tcPr>
          <w:p w14:paraId="76E24538"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56.99</w:t>
            </w:r>
          </w:p>
        </w:tc>
        <w:tc>
          <w:tcPr>
            <w:tcW w:w="1080" w:type="dxa"/>
            <w:vAlign w:val="bottom"/>
          </w:tcPr>
          <w:p w14:paraId="61865CE5"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156.58</w:t>
            </w:r>
          </w:p>
        </w:tc>
        <w:tc>
          <w:tcPr>
            <w:tcW w:w="1255" w:type="dxa"/>
            <w:vAlign w:val="bottom"/>
          </w:tcPr>
          <w:p w14:paraId="7AA6983A"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1962</w:t>
            </w:r>
          </w:p>
        </w:tc>
        <w:tc>
          <w:tcPr>
            <w:tcW w:w="661" w:type="dxa"/>
            <w:vAlign w:val="bottom"/>
          </w:tcPr>
          <w:p w14:paraId="642ADD82"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2007</w:t>
            </w:r>
          </w:p>
        </w:tc>
      </w:tr>
      <w:tr w:rsidR="0009083C" w:rsidRPr="00673904" w14:paraId="60F7CC67" w14:textId="77777777" w:rsidTr="0006406B">
        <w:tc>
          <w:tcPr>
            <w:tcW w:w="985" w:type="dxa"/>
            <w:vAlign w:val="bottom"/>
          </w:tcPr>
          <w:p w14:paraId="71CF31BD"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Chum</w:t>
            </w:r>
          </w:p>
        </w:tc>
        <w:tc>
          <w:tcPr>
            <w:tcW w:w="3515" w:type="dxa"/>
            <w:vAlign w:val="bottom"/>
          </w:tcPr>
          <w:p w14:paraId="34B41DEA"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Kamishak</w:t>
            </w:r>
          </w:p>
        </w:tc>
        <w:tc>
          <w:tcPr>
            <w:tcW w:w="900" w:type="dxa"/>
            <w:vAlign w:val="bottom"/>
          </w:tcPr>
          <w:p w14:paraId="7CEC7664"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59.27</w:t>
            </w:r>
          </w:p>
        </w:tc>
        <w:tc>
          <w:tcPr>
            <w:tcW w:w="1080" w:type="dxa"/>
            <w:vAlign w:val="bottom"/>
          </w:tcPr>
          <w:p w14:paraId="1686D91C"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154.12</w:t>
            </w:r>
          </w:p>
        </w:tc>
        <w:tc>
          <w:tcPr>
            <w:tcW w:w="1255" w:type="dxa"/>
            <w:vAlign w:val="bottom"/>
          </w:tcPr>
          <w:p w14:paraId="4E43C789"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1971</w:t>
            </w:r>
          </w:p>
        </w:tc>
        <w:tc>
          <w:tcPr>
            <w:tcW w:w="661" w:type="dxa"/>
            <w:vAlign w:val="bottom"/>
          </w:tcPr>
          <w:p w14:paraId="194AADBC"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2006</w:t>
            </w:r>
          </w:p>
        </w:tc>
      </w:tr>
      <w:tr w:rsidR="0009083C" w:rsidRPr="00673904" w14:paraId="31EB09E8" w14:textId="77777777" w:rsidTr="0006406B">
        <w:tc>
          <w:tcPr>
            <w:tcW w:w="985" w:type="dxa"/>
            <w:vAlign w:val="bottom"/>
          </w:tcPr>
          <w:p w14:paraId="1D6973B8"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Chum</w:t>
            </w:r>
          </w:p>
        </w:tc>
        <w:tc>
          <w:tcPr>
            <w:tcW w:w="3515" w:type="dxa"/>
            <w:vAlign w:val="bottom"/>
          </w:tcPr>
          <w:p w14:paraId="71892DB0"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Outer Cook Inlet</w:t>
            </w:r>
          </w:p>
        </w:tc>
        <w:tc>
          <w:tcPr>
            <w:tcW w:w="900" w:type="dxa"/>
            <w:vAlign w:val="bottom"/>
          </w:tcPr>
          <w:p w14:paraId="36AA9C98"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59.38</w:t>
            </w:r>
          </w:p>
        </w:tc>
        <w:tc>
          <w:tcPr>
            <w:tcW w:w="1080" w:type="dxa"/>
            <w:vAlign w:val="bottom"/>
          </w:tcPr>
          <w:p w14:paraId="4A463D2C"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150.75</w:t>
            </w:r>
          </w:p>
        </w:tc>
        <w:tc>
          <w:tcPr>
            <w:tcW w:w="1255" w:type="dxa"/>
            <w:vAlign w:val="bottom"/>
          </w:tcPr>
          <w:p w14:paraId="03A5A58B"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1970</w:t>
            </w:r>
          </w:p>
        </w:tc>
        <w:tc>
          <w:tcPr>
            <w:tcW w:w="661" w:type="dxa"/>
            <w:vAlign w:val="bottom"/>
          </w:tcPr>
          <w:p w14:paraId="04CC6FD6"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2006</w:t>
            </w:r>
          </w:p>
        </w:tc>
      </w:tr>
      <w:tr w:rsidR="0009083C" w:rsidRPr="00673904" w14:paraId="154CBDE4" w14:textId="77777777" w:rsidTr="0006406B">
        <w:tc>
          <w:tcPr>
            <w:tcW w:w="985" w:type="dxa"/>
            <w:vAlign w:val="bottom"/>
          </w:tcPr>
          <w:p w14:paraId="20E7E6B8"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Chum</w:t>
            </w:r>
          </w:p>
        </w:tc>
        <w:tc>
          <w:tcPr>
            <w:tcW w:w="3515" w:type="dxa"/>
            <w:vAlign w:val="bottom"/>
          </w:tcPr>
          <w:p w14:paraId="7B8AE7B9"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Perryville</w:t>
            </w:r>
          </w:p>
        </w:tc>
        <w:tc>
          <w:tcPr>
            <w:tcW w:w="900" w:type="dxa"/>
            <w:vAlign w:val="bottom"/>
          </w:tcPr>
          <w:p w14:paraId="1AE89DF8"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55.85</w:t>
            </w:r>
          </w:p>
        </w:tc>
        <w:tc>
          <w:tcPr>
            <w:tcW w:w="1080" w:type="dxa"/>
            <w:vAlign w:val="bottom"/>
          </w:tcPr>
          <w:p w14:paraId="6900ED03"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159.33</w:t>
            </w:r>
          </w:p>
        </w:tc>
        <w:tc>
          <w:tcPr>
            <w:tcW w:w="1255" w:type="dxa"/>
            <w:vAlign w:val="bottom"/>
          </w:tcPr>
          <w:p w14:paraId="63917596"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1962</w:t>
            </w:r>
          </w:p>
        </w:tc>
        <w:tc>
          <w:tcPr>
            <w:tcW w:w="661" w:type="dxa"/>
            <w:vAlign w:val="bottom"/>
          </w:tcPr>
          <w:p w14:paraId="5E58F21A"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2007</w:t>
            </w:r>
          </w:p>
        </w:tc>
      </w:tr>
      <w:tr w:rsidR="0009083C" w:rsidRPr="00673904" w14:paraId="38CE5940" w14:textId="77777777" w:rsidTr="0006406B">
        <w:tc>
          <w:tcPr>
            <w:tcW w:w="985" w:type="dxa"/>
            <w:vAlign w:val="bottom"/>
          </w:tcPr>
          <w:p w14:paraId="3C1DA3A1"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Chum</w:t>
            </w:r>
          </w:p>
        </w:tc>
        <w:tc>
          <w:tcPr>
            <w:tcW w:w="3515" w:type="dxa"/>
            <w:vAlign w:val="bottom"/>
          </w:tcPr>
          <w:p w14:paraId="581B1C1F"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Southern Cook Inlet</w:t>
            </w:r>
          </w:p>
        </w:tc>
        <w:tc>
          <w:tcPr>
            <w:tcW w:w="900" w:type="dxa"/>
            <w:vAlign w:val="bottom"/>
          </w:tcPr>
          <w:p w14:paraId="2312B9CA"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59.53</w:t>
            </w:r>
          </w:p>
        </w:tc>
        <w:tc>
          <w:tcPr>
            <w:tcW w:w="1080" w:type="dxa"/>
            <w:vAlign w:val="bottom"/>
          </w:tcPr>
          <w:p w14:paraId="206E3CC6"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151.48</w:t>
            </w:r>
          </w:p>
        </w:tc>
        <w:tc>
          <w:tcPr>
            <w:tcW w:w="1255" w:type="dxa"/>
            <w:vAlign w:val="bottom"/>
          </w:tcPr>
          <w:p w14:paraId="401E28DC"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1970</w:t>
            </w:r>
          </w:p>
        </w:tc>
        <w:tc>
          <w:tcPr>
            <w:tcW w:w="661" w:type="dxa"/>
            <w:vAlign w:val="bottom"/>
          </w:tcPr>
          <w:p w14:paraId="60124AD9"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2006</w:t>
            </w:r>
          </w:p>
        </w:tc>
      </w:tr>
      <w:tr w:rsidR="0009083C" w:rsidRPr="00673904" w14:paraId="36E61E4B" w14:textId="77777777" w:rsidTr="0006406B">
        <w:tc>
          <w:tcPr>
            <w:tcW w:w="985" w:type="dxa"/>
            <w:vAlign w:val="bottom"/>
          </w:tcPr>
          <w:p w14:paraId="5F42ADBC"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Chum</w:t>
            </w:r>
          </w:p>
        </w:tc>
        <w:tc>
          <w:tcPr>
            <w:tcW w:w="3515" w:type="dxa"/>
            <w:vAlign w:val="bottom"/>
          </w:tcPr>
          <w:p w14:paraId="1C0FFC10"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Southeast-southcentral Alaska Peninsula</w:t>
            </w:r>
          </w:p>
        </w:tc>
        <w:tc>
          <w:tcPr>
            <w:tcW w:w="900" w:type="dxa"/>
            <w:vAlign w:val="bottom"/>
          </w:tcPr>
          <w:p w14:paraId="2C45A178"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55.50</w:t>
            </w:r>
          </w:p>
        </w:tc>
        <w:tc>
          <w:tcPr>
            <w:tcW w:w="1080" w:type="dxa"/>
            <w:vAlign w:val="bottom"/>
          </w:tcPr>
          <w:p w14:paraId="06504027"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161.00</w:t>
            </w:r>
          </w:p>
        </w:tc>
        <w:tc>
          <w:tcPr>
            <w:tcW w:w="1255" w:type="dxa"/>
            <w:vAlign w:val="bottom"/>
          </w:tcPr>
          <w:p w14:paraId="4FB9DD8D"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1962</w:t>
            </w:r>
          </w:p>
        </w:tc>
        <w:tc>
          <w:tcPr>
            <w:tcW w:w="661" w:type="dxa"/>
            <w:vAlign w:val="bottom"/>
          </w:tcPr>
          <w:p w14:paraId="28754BB5"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2007</w:t>
            </w:r>
          </w:p>
        </w:tc>
      </w:tr>
      <w:tr w:rsidR="0009083C" w:rsidRPr="00673904" w14:paraId="1FCBA1DE" w14:textId="77777777" w:rsidTr="0006406B">
        <w:tc>
          <w:tcPr>
            <w:tcW w:w="985" w:type="dxa"/>
            <w:vAlign w:val="bottom"/>
          </w:tcPr>
          <w:p w14:paraId="3524FE49"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Chum</w:t>
            </w:r>
          </w:p>
        </w:tc>
        <w:tc>
          <w:tcPr>
            <w:tcW w:w="3515" w:type="dxa"/>
            <w:vAlign w:val="bottom"/>
          </w:tcPr>
          <w:p w14:paraId="673C0498"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Southwest Alaska Peninsula - Unimak</w:t>
            </w:r>
          </w:p>
        </w:tc>
        <w:tc>
          <w:tcPr>
            <w:tcW w:w="900" w:type="dxa"/>
            <w:vAlign w:val="bottom"/>
          </w:tcPr>
          <w:p w14:paraId="04891F67"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54.50</w:t>
            </w:r>
          </w:p>
        </w:tc>
        <w:tc>
          <w:tcPr>
            <w:tcW w:w="1080" w:type="dxa"/>
            <w:vAlign w:val="bottom"/>
          </w:tcPr>
          <w:p w14:paraId="1B866047"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163.50</w:t>
            </w:r>
          </w:p>
        </w:tc>
        <w:tc>
          <w:tcPr>
            <w:tcW w:w="1255" w:type="dxa"/>
            <w:vAlign w:val="bottom"/>
          </w:tcPr>
          <w:p w14:paraId="0D283D91"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1962</w:t>
            </w:r>
          </w:p>
        </w:tc>
        <w:tc>
          <w:tcPr>
            <w:tcW w:w="661" w:type="dxa"/>
            <w:vAlign w:val="bottom"/>
          </w:tcPr>
          <w:p w14:paraId="5BCE98E0"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2007</w:t>
            </w:r>
          </w:p>
        </w:tc>
      </w:tr>
      <w:tr w:rsidR="0009083C" w:rsidRPr="00673904" w14:paraId="5EAECB31" w14:textId="77777777" w:rsidTr="00032692">
        <w:tc>
          <w:tcPr>
            <w:tcW w:w="985" w:type="dxa"/>
            <w:vAlign w:val="bottom"/>
          </w:tcPr>
          <w:p w14:paraId="620D88FA"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Chum</w:t>
            </w:r>
          </w:p>
        </w:tc>
        <w:tc>
          <w:tcPr>
            <w:tcW w:w="3515" w:type="dxa"/>
            <w:vAlign w:val="bottom"/>
          </w:tcPr>
          <w:p w14:paraId="3C4CDC07" w14:textId="77777777" w:rsidR="0009083C" w:rsidRPr="00673904" w:rsidRDefault="0009083C" w:rsidP="00A13BA5">
            <w:pPr>
              <w:autoSpaceDE w:val="0"/>
              <w:autoSpaceDN w:val="0"/>
              <w:adjustRightInd w:val="0"/>
              <w:spacing w:line="360" w:lineRule="auto"/>
              <w:rPr>
                <w:rFonts w:ascii="Times New Roman" w:hAnsi="Times New Roman" w:cs="Times New Roman"/>
                <w:color w:val="000000"/>
                <w:sz w:val="20"/>
                <w:szCs w:val="20"/>
              </w:rPr>
            </w:pPr>
            <w:r w:rsidRPr="00673904">
              <w:rPr>
                <w:rFonts w:ascii="Times New Roman" w:hAnsi="Times New Roman" w:cs="Times New Roman"/>
                <w:color w:val="000000"/>
                <w:sz w:val="20"/>
                <w:szCs w:val="20"/>
              </w:rPr>
              <w:t>Upper Cook Inlet</w:t>
            </w:r>
          </w:p>
        </w:tc>
        <w:tc>
          <w:tcPr>
            <w:tcW w:w="900" w:type="dxa"/>
            <w:vAlign w:val="bottom"/>
          </w:tcPr>
          <w:p w14:paraId="6BA1C006"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61.27</w:t>
            </w:r>
          </w:p>
        </w:tc>
        <w:tc>
          <w:tcPr>
            <w:tcW w:w="1080" w:type="dxa"/>
            <w:vAlign w:val="bottom"/>
          </w:tcPr>
          <w:p w14:paraId="37508AF6"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150.58</w:t>
            </w:r>
          </w:p>
        </w:tc>
        <w:tc>
          <w:tcPr>
            <w:tcW w:w="1255" w:type="dxa"/>
            <w:vAlign w:val="bottom"/>
          </w:tcPr>
          <w:p w14:paraId="27EFBEAF"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1971</w:t>
            </w:r>
          </w:p>
        </w:tc>
        <w:tc>
          <w:tcPr>
            <w:tcW w:w="661" w:type="dxa"/>
            <w:vAlign w:val="bottom"/>
          </w:tcPr>
          <w:p w14:paraId="337305B5" w14:textId="77777777" w:rsidR="0009083C" w:rsidRPr="00673904" w:rsidRDefault="0009083C" w:rsidP="00A13BA5">
            <w:pPr>
              <w:autoSpaceDE w:val="0"/>
              <w:autoSpaceDN w:val="0"/>
              <w:adjustRightInd w:val="0"/>
              <w:spacing w:line="360" w:lineRule="auto"/>
              <w:jc w:val="center"/>
              <w:rPr>
                <w:rFonts w:ascii="Times New Roman" w:hAnsi="Times New Roman" w:cs="Times New Roman"/>
                <w:color w:val="000000"/>
                <w:sz w:val="20"/>
                <w:szCs w:val="20"/>
              </w:rPr>
            </w:pPr>
            <w:r w:rsidRPr="00673904">
              <w:rPr>
                <w:rFonts w:ascii="Times New Roman" w:hAnsi="Times New Roman" w:cs="Times New Roman"/>
                <w:color w:val="000000"/>
                <w:sz w:val="20"/>
                <w:szCs w:val="20"/>
              </w:rPr>
              <w:t>2007</w:t>
            </w:r>
          </w:p>
        </w:tc>
      </w:tr>
      <w:tr w:rsidR="00032692" w:rsidRPr="00673904" w14:paraId="7E0CA0B2" w14:textId="77777777" w:rsidTr="0006406B">
        <w:tc>
          <w:tcPr>
            <w:tcW w:w="985" w:type="dxa"/>
            <w:tcBorders>
              <w:bottom w:val="single" w:sz="4" w:space="0" w:color="auto"/>
            </w:tcBorders>
            <w:vAlign w:val="bottom"/>
          </w:tcPr>
          <w:p w14:paraId="5507BB2A" w14:textId="457DC3E0" w:rsidR="00032692" w:rsidRPr="00673904" w:rsidRDefault="00032692" w:rsidP="00A13BA5">
            <w:pPr>
              <w:autoSpaceDE w:val="0"/>
              <w:autoSpaceDN w:val="0"/>
              <w:adjustRightInd w:val="0"/>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Chum</w:t>
            </w:r>
          </w:p>
        </w:tc>
        <w:tc>
          <w:tcPr>
            <w:tcW w:w="3515" w:type="dxa"/>
            <w:tcBorders>
              <w:bottom w:val="single" w:sz="4" w:space="0" w:color="auto"/>
            </w:tcBorders>
            <w:vAlign w:val="bottom"/>
          </w:tcPr>
          <w:p w14:paraId="24A40EDB" w14:textId="04D041EB" w:rsidR="00032692" w:rsidRPr="00673904" w:rsidRDefault="00032692" w:rsidP="00A13BA5">
            <w:pPr>
              <w:autoSpaceDE w:val="0"/>
              <w:autoSpaceDN w:val="0"/>
              <w:adjustRightInd w:val="0"/>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West Chignik</w:t>
            </w:r>
          </w:p>
        </w:tc>
        <w:tc>
          <w:tcPr>
            <w:tcW w:w="900" w:type="dxa"/>
            <w:tcBorders>
              <w:bottom w:val="single" w:sz="4" w:space="0" w:color="auto"/>
            </w:tcBorders>
            <w:vAlign w:val="bottom"/>
          </w:tcPr>
          <w:p w14:paraId="44DA9DCF" w14:textId="447D8A2B" w:rsidR="00032692" w:rsidRPr="00673904" w:rsidRDefault="00032692" w:rsidP="00A13BA5">
            <w:pPr>
              <w:autoSpaceDE w:val="0"/>
              <w:autoSpaceDN w:val="0"/>
              <w:adjustRightInd w:val="0"/>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56.07</w:t>
            </w:r>
          </w:p>
        </w:tc>
        <w:tc>
          <w:tcPr>
            <w:tcW w:w="1080" w:type="dxa"/>
            <w:tcBorders>
              <w:bottom w:val="single" w:sz="4" w:space="0" w:color="auto"/>
            </w:tcBorders>
            <w:vAlign w:val="bottom"/>
          </w:tcPr>
          <w:p w14:paraId="11E4D529" w14:textId="1F2A7D7F" w:rsidR="00032692" w:rsidRPr="00673904" w:rsidRDefault="00032692" w:rsidP="00A13BA5">
            <w:pPr>
              <w:autoSpaceDE w:val="0"/>
              <w:autoSpaceDN w:val="0"/>
              <w:adjustRightInd w:val="0"/>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158.68</w:t>
            </w:r>
          </w:p>
        </w:tc>
        <w:tc>
          <w:tcPr>
            <w:tcW w:w="1255" w:type="dxa"/>
            <w:tcBorders>
              <w:bottom w:val="single" w:sz="4" w:space="0" w:color="auto"/>
            </w:tcBorders>
            <w:vAlign w:val="bottom"/>
          </w:tcPr>
          <w:p w14:paraId="12D239E6" w14:textId="3C1D3DDD" w:rsidR="00032692" w:rsidRPr="00673904" w:rsidRDefault="00032692" w:rsidP="00A13BA5">
            <w:pPr>
              <w:autoSpaceDE w:val="0"/>
              <w:autoSpaceDN w:val="0"/>
              <w:adjustRightInd w:val="0"/>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1962</w:t>
            </w:r>
          </w:p>
        </w:tc>
        <w:tc>
          <w:tcPr>
            <w:tcW w:w="661" w:type="dxa"/>
            <w:tcBorders>
              <w:bottom w:val="single" w:sz="4" w:space="0" w:color="auto"/>
            </w:tcBorders>
            <w:vAlign w:val="bottom"/>
          </w:tcPr>
          <w:p w14:paraId="2603E248" w14:textId="48DB2120" w:rsidR="00032692" w:rsidRPr="00673904" w:rsidRDefault="00032692" w:rsidP="00A13BA5">
            <w:pPr>
              <w:autoSpaceDE w:val="0"/>
              <w:autoSpaceDN w:val="0"/>
              <w:adjustRightInd w:val="0"/>
              <w:spacing w:line="360" w:lineRule="auto"/>
              <w:jc w:val="center"/>
              <w:rPr>
                <w:rFonts w:ascii="Times New Roman" w:hAnsi="Times New Roman" w:cs="Times New Roman"/>
                <w:color w:val="000000"/>
                <w:sz w:val="20"/>
                <w:szCs w:val="20"/>
              </w:rPr>
            </w:pPr>
            <w:r>
              <w:rPr>
                <w:rFonts w:ascii="Times New Roman" w:hAnsi="Times New Roman" w:cs="Times New Roman"/>
                <w:color w:val="000000"/>
                <w:sz w:val="20"/>
                <w:szCs w:val="20"/>
              </w:rPr>
              <w:t>2007</w:t>
            </w:r>
          </w:p>
        </w:tc>
      </w:tr>
    </w:tbl>
    <w:p w14:paraId="4A3F2558" w14:textId="337AB0B9" w:rsidR="00673904" w:rsidRPr="00B0081A" w:rsidRDefault="0009083C" w:rsidP="00A13BA5">
      <w:pPr>
        <w:spacing w:line="360" w:lineRule="auto"/>
        <w:rPr>
          <w:rFonts w:ascii="Times New Roman" w:hAnsi="Times New Roman" w:cs="Times New Roman"/>
        </w:rPr>
      </w:pPr>
      <w:r w:rsidRPr="00673904">
        <w:rPr>
          <w:rFonts w:ascii="Times New Roman" w:hAnsi="Times New Roman" w:cs="Times New Roman"/>
          <w:sz w:val="22"/>
          <w:szCs w:val="22"/>
        </w:rPr>
        <w:br w:type="page"/>
      </w:r>
      <w:r w:rsidR="00673904" w:rsidRPr="00CE116A">
        <w:rPr>
          <w:rFonts w:ascii="Times New Roman" w:hAnsi="Times New Roman" w:cs="Times New Roman"/>
          <w:b/>
        </w:rPr>
        <w:lastRenderedPageBreak/>
        <w:t xml:space="preserve">Table S2. </w:t>
      </w:r>
      <w:r w:rsidR="00673904" w:rsidRPr="00CE116A">
        <w:rPr>
          <w:rFonts w:ascii="Times New Roman" w:hAnsi="Times New Roman" w:cs="Times New Roman"/>
        </w:rPr>
        <w:t>Climate data used in analysis.</w:t>
      </w:r>
    </w:p>
    <w:tbl>
      <w:tblPr>
        <w:tblStyle w:val="TableGrid"/>
        <w:tblW w:w="0" w:type="auto"/>
        <w:tblLayout w:type="fixed"/>
        <w:tblLook w:val="04A0" w:firstRow="1" w:lastRow="0" w:firstColumn="1" w:lastColumn="0" w:noHBand="0" w:noVBand="1"/>
      </w:tblPr>
      <w:tblGrid>
        <w:gridCol w:w="1339"/>
        <w:gridCol w:w="1446"/>
        <w:gridCol w:w="1170"/>
        <w:gridCol w:w="1620"/>
        <w:gridCol w:w="900"/>
        <w:gridCol w:w="2875"/>
      </w:tblGrid>
      <w:tr w:rsidR="00673904" w:rsidRPr="00673904" w14:paraId="4A3CA4DA" w14:textId="77777777" w:rsidTr="0006406B">
        <w:tc>
          <w:tcPr>
            <w:tcW w:w="1339" w:type="dxa"/>
            <w:vAlign w:val="bottom"/>
          </w:tcPr>
          <w:p w14:paraId="73887243" w14:textId="77777777" w:rsidR="00673904" w:rsidRPr="00673904" w:rsidRDefault="00673904" w:rsidP="00032692">
            <w:pPr>
              <w:rPr>
                <w:rFonts w:ascii="Times New Roman" w:hAnsi="Times New Roman" w:cs="Times New Roman"/>
                <w:b/>
                <w:sz w:val="20"/>
                <w:szCs w:val="20"/>
              </w:rPr>
            </w:pPr>
            <w:r w:rsidRPr="00673904">
              <w:rPr>
                <w:rFonts w:ascii="Times New Roman" w:hAnsi="Times New Roman" w:cs="Times New Roman"/>
                <w:b/>
                <w:sz w:val="20"/>
                <w:szCs w:val="20"/>
              </w:rPr>
              <w:t>Variable</w:t>
            </w:r>
          </w:p>
        </w:tc>
        <w:tc>
          <w:tcPr>
            <w:tcW w:w="1446" w:type="dxa"/>
            <w:vAlign w:val="bottom"/>
          </w:tcPr>
          <w:p w14:paraId="5494779D" w14:textId="77777777" w:rsidR="00673904" w:rsidRPr="00673904" w:rsidRDefault="00673904" w:rsidP="00032692">
            <w:pPr>
              <w:rPr>
                <w:rFonts w:ascii="Times New Roman" w:hAnsi="Times New Roman" w:cs="Times New Roman"/>
                <w:b/>
                <w:sz w:val="20"/>
                <w:szCs w:val="20"/>
              </w:rPr>
            </w:pPr>
            <w:r w:rsidRPr="00673904">
              <w:rPr>
                <w:rFonts w:ascii="Times New Roman" w:hAnsi="Times New Roman" w:cs="Times New Roman"/>
                <w:b/>
                <w:sz w:val="20"/>
                <w:szCs w:val="20"/>
              </w:rPr>
              <w:t>Data set</w:t>
            </w:r>
          </w:p>
        </w:tc>
        <w:tc>
          <w:tcPr>
            <w:tcW w:w="1170" w:type="dxa"/>
            <w:vAlign w:val="bottom"/>
          </w:tcPr>
          <w:p w14:paraId="5EBDA4DD" w14:textId="77777777" w:rsidR="00673904" w:rsidRPr="00673904" w:rsidRDefault="00673904" w:rsidP="00032692">
            <w:pPr>
              <w:rPr>
                <w:rFonts w:ascii="Times New Roman" w:hAnsi="Times New Roman" w:cs="Times New Roman"/>
                <w:b/>
                <w:sz w:val="20"/>
                <w:szCs w:val="20"/>
              </w:rPr>
            </w:pPr>
            <w:r w:rsidRPr="00673904">
              <w:rPr>
                <w:rFonts w:ascii="Times New Roman" w:hAnsi="Times New Roman" w:cs="Times New Roman"/>
                <w:b/>
                <w:sz w:val="20"/>
                <w:szCs w:val="20"/>
              </w:rPr>
              <w:t>Months</w:t>
            </w:r>
          </w:p>
        </w:tc>
        <w:tc>
          <w:tcPr>
            <w:tcW w:w="1620" w:type="dxa"/>
            <w:vAlign w:val="bottom"/>
          </w:tcPr>
          <w:p w14:paraId="2C6AA287" w14:textId="77777777" w:rsidR="00673904" w:rsidRPr="00673904" w:rsidRDefault="00673904" w:rsidP="00032692">
            <w:pPr>
              <w:rPr>
                <w:rFonts w:ascii="Times New Roman" w:hAnsi="Times New Roman" w:cs="Times New Roman"/>
                <w:b/>
                <w:sz w:val="20"/>
                <w:szCs w:val="20"/>
              </w:rPr>
            </w:pPr>
            <w:r w:rsidRPr="00673904">
              <w:rPr>
                <w:rFonts w:ascii="Times New Roman" w:hAnsi="Times New Roman" w:cs="Times New Roman"/>
                <w:b/>
                <w:sz w:val="20"/>
                <w:szCs w:val="20"/>
              </w:rPr>
              <w:t>Source</w:t>
            </w:r>
          </w:p>
        </w:tc>
        <w:tc>
          <w:tcPr>
            <w:tcW w:w="900" w:type="dxa"/>
            <w:vAlign w:val="bottom"/>
          </w:tcPr>
          <w:p w14:paraId="11E9F2A2" w14:textId="77777777" w:rsidR="00673904" w:rsidRPr="00673904" w:rsidRDefault="00673904" w:rsidP="00032692">
            <w:pPr>
              <w:rPr>
                <w:rFonts w:ascii="Times New Roman" w:hAnsi="Times New Roman" w:cs="Times New Roman"/>
                <w:b/>
                <w:sz w:val="20"/>
                <w:szCs w:val="20"/>
              </w:rPr>
            </w:pPr>
            <w:r w:rsidRPr="00673904">
              <w:rPr>
                <w:rFonts w:ascii="Times New Roman" w:hAnsi="Times New Roman" w:cs="Times New Roman"/>
                <w:b/>
                <w:sz w:val="20"/>
                <w:szCs w:val="20"/>
              </w:rPr>
              <w:t>Ref.</w:t>
            </w:r>
          </w:p>
        </w:tc>
        <w:tc>
          <w:tcPr>
            <w:tcW w:w="2875" w:type="dxa"/>
            <w:vAlign w:val="bottom"/>
          </w:tcPr>
          <w:p w14:paraId="570DDF4E" w14:textId="77777777" w:rsidR="00673904" w:rsidRPr="00673904" w:rsidRDefault="00673904" w:rsidP="00032692">
            <w:pPr>
              <w:rPr>
                <w:rFonts w:ascii="Times New Roman" w:hAnsi="Times New Roman" w:cs="Times New Roman"/>
                <w:b/>
                <w:sz w:val="20"/>
                <w:szCs w:val="20"/>
              </w:rPr>
            </w:pPr>
            <w:r w:rsidRPr="00673904">
              <w:rPr>
                <w:rFonts w:ascii="Times New Roman" w:hAnsi="Times New Roman" w:cs="Times New Roman"/>
                <w:b/>
                <w:sz w:val="20"/>
                <w:szCs w:val="20"/>
              </w:rPr>
              <w:t>Notes</w:t>
            </w:r>
          </w:p>
        </w:tc>
      </w:tr>
      <w:tr w:rsidR="00B0081A" w:rsidRPr="00673904" w14:paraId="135218CD" w14:textId="77777777" w:rsidTr="0006406B">
        <w:tc>
          <w:tcPr>
            <w:tcW w:w="1339" w:type="dxa"/>
            <w:vAlign w:val="bottom"/>
          </w:tcPr>
          <w:p w14:paraId="138D2028" w14:textId="77777777" w:rsidR="00B0081A" w:rsidRPr="00673904" w:rsidRDefault="00B0081A" w:rsidP="00032692">
            <w:pPr>
              <w:rPr>
                <w:rFonts w:ascii="Times New Roman" w:hAnsi="Times New Roman" w:cs="Times New Roman"/>
                <w:sz w:val="20"/>
                <w:szCs w:val="20"/>
              </w:rPr>
            </w:pPr>
            <w:r>
              <w:rPr>
                <w:rFonts w:ascii="Times New Roman" w:hAnsi="Times New Roman" w:cs="Times New Roman"/>
                <w:sz w:val="20"/>
                <w:szCs w:val="20"/>
              </w:rPr>
              <w:t>PDO index</w:t>
            </w:r>
          </w:p>
        </w:tc>
        <w:tc>
          <w:tcPr>
            <w:tcW w:w="1446" w:type="dxa"/>
            <w:vAlign w:val="bottom"/>
          </w:tcPr>
          <w:p w14:paraId="281753A8" w14:textId="0EB94DD0" w:rsidR="00B0081A" w:rsidRPr="00673904" w:rsidRDefault="00EF5066" w:rsidP="00032692">
            <w:pPr>
              <w:rPr>
                <w:rFonts w:ascii="Times New Roman" w:hAnsi="Times New Roman" w:cs="Times New Roman"/>
                <w:sz w:val="20"/>
                <w:szCs w:val="20"/>
              </w:rPr>
            </w:pPr>
            <w:r>
              <w:rPr>
                <w:rFonts w:ascii="Times New Roman" w:hAnsi="Times New Roman" w:cs="Times New Roman"/>
                <w:sz w:val="20"/>
                <w:szCs w:val="20"/>
              </w:rPr>
              <w:t>Based on UKMO SST, Reynold’s OI SST v1,  OI SST v2</w:t>
            </w:r>
          </w:p>
        </w:tc>
        <w:tc>
          <w:tcPr>
            <w:tcW w:w="1170" w:type="dxa"/>
            <w:vAlign w:val="bottom"/>
          </w:tcPr>
          <w:p w14:paraId="21F1258E" w14:textId="77777777" w:rsidR="00B0081A" w:rsidRPr="00673904" w:rsidRDefault="00B0081A" w:rsidP="00032692">
            <w:pPr>
              <w:rPr>
                <w:rFonts w:ascii="Times New Roman" w:hAnsi="Times New Roman" w:cs="Times New Roman"/>
                <w:sz w:val="20"/>
                <w:szCs w:val="20"/>
              </w:rPr>
            </w:pPr>
            <w:r>
              <w:rPr>
                <w:rFonts w:ascii="Times New Roman" w:hAnsi="Times New Roman" w:cs="Times New Roman"/>
                <w:sz w:val="20"/>
                <w:szCs w:val="20"/>
              </w:rPr>
              <w:t>NDJFM</w:t>
            </w:r>
          </w:p>
        </w:tc>
        <w:tc>
          <w:tcPr>
            <w:tcW w:w="1620" w:type="dxa"/>
            <w:vAlign w:val="bottom"/>
          </w:tcPr>
          <w:p w14:paraId="3B3A840A" w14:textId="77777777" w:rsidR="00B0081A" w:rsidRPr="00673904" w:rsidRDefault="00B0081A" w:rsidP="00032692">
            <w:pPr>
              <w:rPr>
                <w:rFonts w:ascii="Times New Roman" w:hAnsi="Times New Roman" w:cs="Times New Roman"/>
                <w:sz w:val="20"/>
                <w:szCs w:val="20"/>
              </w:rPr>
            </w:pPr>
            <w:r>
              <w:rPr>
                <w:rFonts w:ascii="Times New Roman" w:hAnsi="Times New Roman" w:cs="Times New Roman"/>
                <w:sz w:val="20"/>
                <w:szCs w:val="20"/>
              </w:rPr>
              <w:t>research.jisao.washington.edu/pdo/PDO.latest.txt</w:t>
            </w:r>
          </w:p>
        </w:tc>
        <w:tc>
          <w:tcPr>
            <w:tcW w:w="900" w:type="dxa"/>
            <w:vAlign w:val="bottom"/>
          </w:tcPr>
          <w:p w14:paraId="4EE84A19" w14:textId="77777777" w:rsidR="00B0081A" w:rsidRPr="00673904" w:rsidRDefault="00FE6E8C" w:rsidP="00032692">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{"citationItems":[{"id":"ITEM-1","itemData":{"DOI":"10.1175/1520-0477(1997)078&lt;1069:apicow&gt;2.0.co;2","ISBN":"0003-0007","abstract":"Evidence gleaned from the instrumental record of climate data identifies a robust, recurring pattern of ocean-atmosphere climate variability centered over the midlatitude North Pacific basin. Over the past century, the amplitude of this climate pattern has varied irregularly at interannual-to-interdecadal timescales. Then is evidence of reversals in the prevailing polarity of the oscillation occurring around 1925, 1947, and 1977; the last two reversals correspond to dramatic shifts in salmon production regimes in the North Pacific Ocean. This climate pattern also affects coastal sea and continental surface air temperatures, as well as streamflow in major west coast river systems, from Alaska to California.","author":[{"dropping-particle":"","family":"Mantua","given":"N J","non-dropping-particle":"","parse-names":false,"suffix":""},{"dropping-particle":"","family":"Hare","given":"S R","non-dropping-particle":"","parse-names":false,"suffix":""},{"dropping-particle":"","family":"Zhang","given":"Y","non-dropping-particle":"","parse-names":false,"suffix":""},{"dropping-particle":"","family":"Wallace","given":"J M","non-dropping-particle":"","parse-names":false,"suffix":""},{"dropping-particle":"","family":"Francis","given":"R C","non-dropping-particle":"","parse-names":false,"suffix":""}],"container-title":"Bulletin of the American Meteorological Society","id":"ITEM-1","issue":"6","issued":{"date-parts":[["1997"]]},"note":"Times Cited: 2062\nMantua, NJ Hare, SR Zhang, Y Wallace, JM Francis, RC","page":"1069-1079","title":"A Pacific interdecadal climate oscillation with impacts on salmon production","type":"article-journal","volume":"78"},"uris":["http://www.mendeley.com/documents/?uuid=471a3c3d-3120-411a-b948-5c72e2d2cc8b"]}],"mendeley":{"formattedCitation":"[3]","plainTextFormattedCitation":"[3]","previouslyFormattedCitation":"[3]"},"properties":{"noteIndex":0},"schema":"https://github.com/citation-style-language/schema/raw/master/csl-citation.json"}</w:instrText>
            </w:r>
            <w:r>
              <w:rPr>
                <w:rFonts w:ascii="Times New Roman" w:hAnsi="Times New Roman" w:cs="Times New Roman"/>
                <w:sz w:val="20"/>
                <w:szCs w:val="20"/>
              </w:rPr>
              <w:fldChar w:fldCharType="separate"/>
            </w:r>
            <w:r w:rsidRPr="00FE6E8C">
              <w:rPr>
                <w:rFonts w:ascii="Times New Roman" w:hAnsi="Times New Roman" w:cs="Times New Roman"/>
                <w:noProof/>
                <w:sz w:val="20"/>
                <w:szCs w:val="20"/>
              </w:rPr>
              <w:t>[3]</w:t>
            </w:r>
            <w:r>
              <w:rPr>
                <w:rFonts w:ascii="Times New Roman" w:hAnsi="Times New Roman" w:cs="Times New Roman"/>
                <w:sz w:val="20"/>
                <w:szCs w:val="20"/>
              </w:rPr>
              <w:fldChar w:fldCharType="end"/>
            </w:r>
          </w:p>
        </w:tc>
        <w:tc>
          <w:tcPr>
            <w:tcW w:w="2875" w:type="dxa"/>
            <w:vAlign w:val="bottom"/>
          </w:tcPr>
          <w:p w14:paraId="406F9273" w14:textId="0DE44F85" w:rsidR="00B0081A" w:rsidRPr="00673904" w:rsidRDefault="00EF5066" w:rsidP="00032692">
            <w:pPr>
              <w:rPr>
                <w:rFonts w:ascii="Times New Roman" w:hAnsi="Times New Roman" w:cs="Times New Roman"/>
                <w:sz w:val="20"/>
                <w:szCs w:val="20"/>
              </w:rPr>
            </w:pPr>
            <w:r>
              <w:rPr>
                <w:rFonts w:ascii="Times New Roman" w:hAnsi="Times New Roman" w:cs="Times New Roman"/>
                <w:sz w:val="20"/>
                <w:szCs w:val="20"/>
              </w:rPr>
              <w:t xml:space="preserve">Index values after 1993 are derived by projecting PDO </w:t>
            </w:r>
            <w:r w:rsidR="00535A79">
              <w:rPr>
                <w:rFonts w:ascii="Times New Roman" w:hAnsi="Times New Roman" w:cs="Times New Roman"/>
                <w:sz w:val="20"/>
                <w:szCs w:val="20"/>
              </w:rPr>
              <w:t>pattern</w:t>
            </w:r>
            <w:r>
              <w:rPr>
                <w:rFonts w:ascii="Times New Roman" w:hAnsi="Times New Roman" w:cs="Times New Roman"/>
                <w:sz w:val="20"/>
                <w:szCs w:val="20"/>
              </w:rPr>
              <w:t xml:space="preserve"> onto </w:t>
            </w:r>
            <w:r w:rsidR="00EF431A">
              <w:rPr>
                <w:rFonts w:ascii="Times New Roman" w:hAnsi="Times New Roman" w:cs="Times New Roman"/>
                <w:sz w:val="20"/>
                <w:szCs w:val="20"/>
              </w:rPr>
              <w:t>monthly</w:t>
            </w:r>
            <w:r>
              <w:rPr>
                <w:rFonts w:ascii="Times New Roman" w:hAnsi="Times New Roman" w:cs="Times New Roman"/>
                <w:sz w:val="20"/>
                <w:szCs w:val="20"/>
              </w:rPr>
              <w:t xml:space="preserve"> SST</w:t>
            </w:r>
            <w:r w:rsidR="00E352E2">
              <w:rPr>
                <w:rFonts w:ascii="Times New Roman" w:hAnsi="Times New Roman" w:cs="Times New Roman"/>
                <w:sz w:val="20"/>
                <w:szCs w:val="20"/>
              </w:rPr>
              <w:t>a</w:t>
            </w:r>
            <w:r>
              <w:rPr>
                <w:rFonts w:ascii="Times New Roman" w:hAnsi="Times New Roman" w:cs="Times New Roman"/>
                <w:sz w:val="20"/>
                <w:szCs w:val="20"/>
              </w:rPr>
              <w:t xml:space="preserve"> values.</w:t>
            </w:r>
          </w:p>
        </w:tc>
      </w:tr>
      <w:tr w:rsidR="00FE6E8C" w:rsidRPr="00673904" w14:paraId="35DC0F84" w14:textId="77777777" w:rsidTr="0006406B">
        <w:tc>
          <w:tcPr>
            <w:tcW w:w="1339" w:type="dxa"/>
            <w:vAlign w:val="bottom"/>
          </w:tcPr>
          <w:p w14:paraId="4F8E2DD7" w14:textId="77777777" w:rsidR="00FE6E8C" w:rsidRPr="00673904" w:rsidRDefault="00FE6E8C" w:rsidP="00032692">
            <w:pPr>
              <w:rPr>
                <w:rFonts w:ascii="Times New Roman" w:hAnsi="Times New Roman" w:cs="Times New Roman"/>
                <w:sz w:val="20"/>
                <w:szCs w:val="20"/>
              </w:rPr>
            </w:pPr>
            <w:r>
              <w:rPr>
                <w:rFonts w:ascii="Times New Roman" w:hAnsi="Times New Roman" w:cs="Times New Roman"/>
                <w:sz w:val="20"/>
                <w:szCs w:val="20"/>
              </w:rPr>
              <w:t>NPGO index</w:t>
            </w:r>
          </w:p>
        </w:tc>
        <w:tc>
          <w:tcPr>
            <w:tcW w:w="1446" w:type="dxa"/>
            <w:vAlign w:val="bottom"/>
          </w:tcPr>
          <w:p w14:paraId="1C8161E1" w14:textId="0ACB5578" w:rsidR="00FE6E8C" w:rsidRPr="00673904" w:rsidRDefault="00EF5066" w:rsidP="00032692">
            <w:pPr>
              <w:rPr>
                <w:rFonts w:ascii="Times New Roman" w:hAnsi="Times New Roman" w:cs="Times New Roman"/>
                <w:sz w:val="20"/>
                <w:szCs w:val="20"/>
              </w:rPr>
            </w:pPr>
            <w:r>
              <w:rPr>
                <w:rFonts w:ascii="Times New Roman" w:hAnsi="Times New Roman" w:cs="Times New Roman"/>
                <w:sz w:val="20"/>
                <w:szCs w:val="20"/>
              </w:rPr>
              <w:t>Based on AVISO Delayed Time and Near Real Time SSH</w:t>
            </w:r>
            <w:r w:rsidR="00B772BA">
              <w:rPr>
                <w:rFonts w:ascii="Times New Roman" w:hAnsi="Times New Roman" w:cs="Times New Roman"/>
                <w:sz w:val="20"/>
                <w:szCs w:val="20"/>
              </w:rPr>
              <w:t>.</w:t>
            </w:r>
          </w:p>
        </w:tc>
        <w:tc>
          <w:tcPr>
            <w:tcW w:w="1170" w:type="dxa"/>
            <w:vAlign w:val="bottom"/>
          </w:tcPr>
          <w:p w14:paraId="2A94C73C" w14:textId="77777777" w:rsidR="00FE6E8C" w:rsidRPr="00673904" w:rsidRDefault="00FE6E8C" w:rsidP="00032692">
            <w:pPr>
              <w:rPr>
                <w:rFonts w:ascii="Times New Roman" w:hAnsi="Times New Roman" w:cs="Times New Roman"/>
                <w:sz w:val="20"/>
                <w:szCs w:val="20"/>
              </w:rPr>
            </w:pPr>
            <w:r>
              <w:rPr>
                <w:rFonts w:ascii="Times New Roman" w:hAnsi="Times New Roman" w:cs="Times New Roman"/>
                <w:sz w:val="20"/>
                <w:szCs w:val="20"/>
              </w:rPr>
              <w:t>NDJFM</w:t>
            </w:r>
          </w:p>
        </w:tc>
        <w:tc>
          <w:tcPr>
            <w:tcW w:w="1620" w:type="dxa"/>
            <w:vAlign w:val="bottom"/>
          </w:tcPr>
          <w:p w14:paraId="28AC221D" w14:textId="77777777" w:rsidR="00FE6E8C" w:rsidRPr="00673904" w:rsidRDefault="00FE6E8C" w:rsidP="00032692">
            <w:pPr>
              <w:rPr>
                <w:rFonts w:ascii="Times New Roman" w:hAnsi="Times New Roman" w:cs="Times New Roman"/>
                <w:sz w:val="20"/>
                <w:szCs w:val="20"/>
              </w:rPr>
            </w:pPr>
            <w:r>
              <w:rPr>
                <w:rFonts w:ascii="Times New Roman" w:hAnsi="Times New Roman" w:cs="Times New Roman"/>
                <w:sz w:val="20"/>
                <w:szCs w:val="20"/>
              </w:rPr>
              <w:t>o3d.org/npgo/npgo.php</w:t>
            </w:r>
          </w:p>
        </w:tc>
        <w:tc>
          <w:tcPr>
            <w:tcW w:w="900" w:type="dxa"/>
            <w:vAlign w:val="bottom"/>
          </w:tcPr>
          <w:p w14:paraId="6EA579CA" w14:textId="77777777" w:rsidR="00FE6E8C" w:rsidRPr="00673904" w:rsidRDefault="00FE6E8C" w:rsidP="00032692">
            <w:pPr>
              <w:rPr>
                <w:rFonts w:ascii="Times New Roman" w:hAnsi="Times New Roman" w:cs="Times New Roman"/>
                <w:sz w:val="20"/>
                <w:szCs w:val="20"/>
              </w:rPr>
            </w:pPr>
            <w:r>
              <w:rPr>
                <w:rFonts w:ascii="Times New Roman" w:hAnsi="Times New Roman" w:cs="Times New Roman"/>
                <w:sz w:val="20"/>
                <w:szCs w:val="20"/>
              </w:rPr>
              <w:fldChar w:fldCharType="begin" w:fldLock="1"/>
            </w:r>
            <w:r>
              <w:rPr>
                <w:rFonts w:ascii="Times New Roman" w:hAnsi="Times New Roman" w:cs="Times New Roman"/>
                <w:sz w:val="20"/>
                <w:szCs w:val="20"/>
              </w:rPr>
              <w:instrText>ADDIN CSL_CITATION {"citationItems":[{"id":"ITEM-1","itemData":{"author":[{"dropping-particle":"","family":"Lorenzo","given":"E","non-dropping-particle":"Di","parse-names":false,"suffix":""},{"dropping-particle":"","family":"Schneider","given":"N","non-dropping-particle":"","parse-names":false,"suffix":""},{"dropping-particle":"","family":"Cobb","given":"K M","non-dropping-particle":"","parse-names":false,"suffix":""},{"dropping-particle":"","family":"Franks","given":"P J S","non-dropping-particle":"","parse-names":false,"suffix":""},{"dropping-particle":"","family":"Chhak","given":"K","non-dropping-particle":"","parse-names":false,"suffix":""},{"dropping-particle":"","family":"Miller","given":"A J","non-dropping-particle":"","parse-names":false,"suffix":""},{"dropping-particle":"","family":"McWilliams","given":"J C","non-dropping-particle":"","parse-names":false,"suffix":""},{"dropping-particle":"","family":"Bograd","given":"S J","non-dropping-particle":"","parse-names":false,"suffix":""},{"dropping-particle":"","family":"Arango","given":"H","non-dropping-particle":"","parse-names":false,"suffix":""},{"dropping-particle":"","family":"Curchitser","given":"E","non-dropping-particle":"","parse-names":false,"suffix":""},{"dropping-particle":"","family":"Powell","given":"T M","non-dropping-particle":"","parse-names":false,"suffix":""},{"dropping-particle":"","family":"P.","given":"Rivière.","non-dropping-particle":"","parse-names":false,"suffix":""}],"container-title":"Geophysical Research Letters","id":"ITEM-1","issued":{"date-parts":[["2008"]]},"page":"L08607","title":"North Pacific Gyre Oscillation links ocean climate and ecosystem change","type":"article-journal","volume":"32"},"uris":["http://www.mendeley.com/documents/?uuid=f93c823e-adc0-4192-9fbd-db8cf2124773"]}],"mendeley":{"formattedCitation":"[4]","plainTextFormattedCitation":"[4]"},"properties":{"noteIndex":0},"schema":"https://github.com/citation-style-language/schema/raw/master/csl-citation.json"}</w:instrText>
            </w:r>
            <w:r>
              <w:rPr>
                <w:rFonts w:ascii="Times New Roman" w:hAnsi="Times New Roman" w:cs="Times New Roman"/>
                <w:sz w:val="20"/>
                <w:szCs w:val="20"/>
              </w:rPr>
              <w:fldChar w:fldCharType="separate"/>
            </w:r>
            <w:r w:rsidRPr="00FE6E8C">
              <w:rPr>
                <w:rFonts w:ascii="Times New Roman" w:hAnsi="Times New Roman" w:cs="Times New Roman"/>
                <w:noProof/>
                <w:sz w:val="20"/>
                <w:szCs w:val="20"/>
              </w:rPr>
              <w:t>[4]</w:t>
            </w:r>
            <w:r>
              <w:rPr>
                <w:rFonts w:ascii="Times New Roman" w:hAnsi="Times New Roman" w:cs="Times New Roman"/>
                <w:sz w:val="20"/>
                <w:szCs w:val="20"/>
              </w:rPr>
              <w:fldChar w:fldCharType="end"/>
            </w:r>
          </w:p>
        </w:tc>
        <w:tc>
          <w:tcPr>
            <w:tcW w:w="2875" w:type="dxa"/>
            <w:vAlign w:val="bottom"/>
          </w:tcPr>
          <w:p w14:paraId="5D3E309E" w14:textId="7415010B" w:rsidR="00FE6E8C" w:rsidRPr="00673904" w:rsidRDefault="00535A79" w:rsidP="00032692">
            <w:pPr>
              <w:rPr>
                <w:rFonts w:ascii="Times New Roman" w:hAnsi="Times New Roman" w:cs="Times New Roman"/>
                <w:sz w:val="20"/>
                <w:szCs w:val="20"/>
              </w:rPr>
            </w:pPr>
            <w:r>
              <w:rPr>
                <w:rFonts w:ascii="Times New Roman" w:hAnsi="Times New Roman" w:cs="Times New Roman"/>
                <w:sz w:val="20"/>
                <w:szCs w:val="20"/>
              </w:rPr>
              <w:t xml:space="preserve">Index values after </w:t>
            </w:r>
            <w:r w:rsidR="00E352E2">
              <w:rPr>
                <w:rFonts w:ascii="Times New Roman" w:hAnsi="Times New Roman" w:cs="Times New Roman"/>
                <w:sz w:val="20"/>
                <w:szCs w:val="20"/>
              </w:rPr>
              <w:t>2004 are derived by projecting NPGO pattern onto monthly SSHa values.</w:t>
            </w:r>
          </w:p>
        </w:tc>
      </w:tr>
      <w:tr w:rsidR="00673904" w:rsidRPr="00673904" w14:paraId="099E2393" w14:textId="77777777" w:rsidTr="0006406B">
        <w:tc>
          <w:tcPr>
            <w:tcW w:w="1339" w:type="dxa"/>
            <w:vAlign w:val="bottom"/>
          </w:tcPr>
          <w:p w14:paraId="564C06EE"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SST</w:t>
            </w:r>
          </w:p>
        </w:tc>
        <w:tc>
          <w:tcPr>
            <w:tcW w:w="1446" w:type="dxa"/>
            <w:vAlign w:val="bottom"/>
          </w:tcPr>
          <w:p w14:paraId="3DB2B958"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ERSST v4</w:t>
            </w:r>
          </w:p>
        </w:tc>
        <w:tc>
          <w:tcPr>
            <w:tcW w:w="1170" w:type="dxa"/>
            <w:vAlign w:val="bottom"/>
          </w:tcPr>
          <w:p w14:paraId="0C7D397E"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All</w:t>
            </w:r>
          </w:p>
        </w:tc>
        <w:tc>
          <w:tcPr>
            <w:tcW w:w="1620" w:type="dxa"/>
            <w:vAlign w:val="bottom"/>
          </w:tcPr>
          <w:p w14:paraId="3B13460E"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esrl.noaa.gov</w:t>
            </w:r>
          </w:p>
        </w:tc>
        <w:tc>
          <w:tcPr>
            <w:tcW w:w="900" w:type="dxa"/>
            <w:vAlign w:val="bottom"/>
          </w:tcPr>
          <w:p w14:paraId="6D735229"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fldChar w:fldCharType="begin" w:fldLock="1"/>
            </w:r>
            <w:r w:rsidR="00CE116A">
              <w:rPr>
                <w:rFonts w:ascii="Times New Roman" w:hAnsi="Times New Roman" w:cs="Times New Roman"/>
                <w:sz w:val="20"/>
                <w:szCs w:val="20"/>
              </w:rPr>
              <w:instrText>ADDIN CSL_CITATION {"citationItems":[{"id":"ITEM-1","itemData":{"DOI":"10.1175/jcli-d-14-00006.1","ISBN":"0894-8755","abstract":"The monthly Extended Reconstructed Sea Surface Temperature (ERSST) dataset, available on global 2 degrees x 2 degrees grids, has been revised herein to version 4 (v4) from v3b. Major revisions include updated and substantially more complete input data from the International Comprehensive Ocean Atmosphere Data Set (ICOADS) release 2.5; revised empirical orthogonal teleconnections (EOTs) and EOT acceptance criterion; updated sea surface temperature (SST) quality control procedures; revised SST anomaly (SSTA) evaluation methods; updated bias adjustments of ship SSTs using the Hadley Centre Nighttime Marine Air Temperature dataset version 2 (HadNMAT2); and buoy SST bias adjustment not previously made in v3b. Tests show that the impacts of the revisions to ship SST bias adjustment in ERSST.v4 are dominant among all revisions and updates. The effect is to make SST 0.1 degrees-0.2 degrees C cooler north of 30 degrees S but 0.1 degrees-0.2 degrees C warmer south of 30 degrees S in ERSST.v4 than in ERSST.v3b before 1940. In comparison with the Met Office SST product [the Hadley Centre Sea Surface Temperature dataset, version 3 (HadSST3)], the ship SST bias adjustment in ERSST.v4 is 0.1 degrees-0.2 degrees C cooler in the tropics but 0.1 degrees-0.2 degrees C warmer in the midlatitude oceans both before 1940 and from 1945 to 1970. Comparisons highlight differences in long-term SST trends and SSTA variations at decadal time scales among ERSST.v4, ERSST.v3b, HadSST3, and Centennial Observation-Based Estimates of SST version 2 (COBE-SST2), which is largely associated with the difference of bias adjustments in these SST products. The tests also show that, when compared with v3b, SSTAs in ERSST.v4 can substantially better represent the El Nino/La Nina behavior when observations are sparse before 1940. Comparisons indicate that SSTs in ERSST.v4 are as close to satellite-based observations as other similar SST analyses.","author":[{"dropping-particle":"","family":"Huang","given":"B Y","non-dropping-particle":"","parse-names":false,"suffix":""},{"dropping-particle":"","family":"Banzon","given":"V F","non-dropping-particle":"","parse-names":false,"suffix":""},{"dropping-particle":"","family":"Freeman","given":"E","non-dropping-particle":"","parse-names":false,"suffix":""},{"dropping-particle":"","family":"Lawrimore","given":"J","non-dropping-particle":"","parse-names":false,"suffix":""},{"dropping-particle":"","family":"Liu","given":"W","non-dropping-particle":"","parse-names":false,"suffix":""},{"dropping-particle":"","family":"Peterson","given":"T C","non-dropping-particle":"","parse-names":false,"suffix":""},{"dropping-particle":"","family":"Smith","given":"T M","non-dropping-particle":"","parse-names":false,"suffix":""},{"dropping-particle":"","family":"Thorne","given":"P W","non-dropping-particle":"","parse-names":false,"suffix":""},{"dropping-particle":"","family":"Woodruff","given":"S D","non-dropping-particle":"","parse-names":false,"suffix":""},{"dropping-particle":"","family":"Zhang","given":"H M","non-dropping-particle":"","parse-names":false,"suffix":""}],"container-title":"Journal of Climate","id":"ITEM-1","issue":"3","issued":{"date-parts":[["2015"]]},"note":"Times Cited: 202\nHuang, Boyin Banzon, Viva F. Freeman, Eric Lawrimore, Jay Liu, Wei Peterson, Thomas C. Smith, Thomas M. Thorne, Peter W. Woodruff, Scott D. Zhang, Huai-Min\nSmith, Thomas M./F-5626-2010; Thorne, Peter/F-2225-2014; Banzon, Viva/D-5499-2014\nSmith, Thomas M./0000-0001-7469-7849; Thorne, Peter/0000-0003-0485-9798;\n209\n1520-0442","page":"911-930","title":"Extended Reconstructed Sea Surface Temperature Version 4 (ERSST.v4). Part I: Upgrades and Intercomparisons","type":"article-journal","volume":"28"},"uris":["http://www.mendeley.com/documents/?uuid=b1a1c5b9-7b5a-4b9f-a4db-e9da8459c695"]}],"mendeley":{"formattedCitation":"[11]","plainTextFormattedCitation":"[11]","previouslyFormattedCitation":"[11]"},"properties":{"noteIndex":0},"schema":"https://github.com/citation-style-language/schema/raw/master/csl-citation.json"}</w:instrText>
            </w:r>
            <w:r w:rsidRPr="00673904">
              <w:rPr>
                <w:rFonts w:ascii="Times New Roman" w:hAnsi="Times New Roman" w:cs="Times New Roman"/>
                <w:sz w:val="20"/>
                <w:szCs w:val="20"/>
              </w:rPr>
              <w:fldChar w:fldCharType="separate"/>
            </w:r>
            <w:r w:rsidR="003870BD" w:rsidRPr="003870BD">
              <w:rPr>
                <w:rFonts w:ascii="Times New Roman" w:hAnsi="Times New Roman" w:cs="Times New Roman"/>
                <w:noProof/>
                <w:sz w:val="20"/>
                <w:szCs w:val="20"/>
              </w:rPr>
              <w:t>[11]</w:t>
            </w:r>
            <w:r w:rsidRPr="00673904">
              <w:rPr>
                <w:rFonts w:ascii="Times New Roman" w:hAnsi="Times New Roman" w:cs="Times New Roman"/>
                <w:sz w:val="20"/>
                <w:szCs w:val="20"/>
              </w:rPr>
              <w:fldChar w:fldCharType="end"/>
            </w:r>
          </w:p>
        </w:tc>
        <w:tc>
          <w:tcPr>
            <w:tcW w:w="2875" w:type="dxa"/>
            <w:vAlign w:val="bottom"/>
          </w:tcPr>
          <w:p w14:paraId="7C23EF3E" w14:textId="77777777" w:rsidR="00673904" w:rsidRPr="00673904" w:rsidRDefault="00673904" w:rsidP="00032692">
            <w:pPr>
              <w:rPr>
                <w:rFonts w:ascii="Times New Roman" w:hAnsi="Times New Roman" w:cs="Times New Roman"/>
                <w:sz w:val="20"/>
                <w:szCs w:val="20"/>
              </w:rPr>
            </w:pPr>
          </w:p>
        </w:tc>
      </w:tr>
      <w:tr w:rsidR="00673904" w:rsidRPr="00673904" w14:paraId="6FF073D1" w14:textId="77777777" w:rsidTr="0006406B">
        <w:tc>
          <w:tcPr>
            <w:tcW w:w="1339" w:type="dxa"/>
            <w:vAlign w:val="bottom"/>
          </w:tcPr>
          <w:p w14:paraId="12C7703C"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SLP</w:t>
            </w:r>
          </w:p>
        </w:tc>
        <w:tc>
          <w:tcPr>
            <w:tcW w:w="1446" w:type="dxa"/>
            <w:vAlign w:val="bottom"/>
          </w:tcPr>
          <w:p w14:paraId="08295942"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NOAA-CIRES 20th Century Reanalysis v2c</w:t>
            </w:r>
          </w:p>
        </w:tc>
        <w:tc>
          <w:tcPr>
            <w:tcW w:w="1170" w:type="dxa"/>
            <w:vAlign w:val="bottom"/>
          </w:tcPr>
          <w:p w14:paraId="3551F9F1"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All</w:t>
            </w:r>
          </w:p>
        </w:tc>
        <w:tc>
          <w:tcPr>
            <w:tcW w:w="1620" w:type="dxa"/>
            <w:vAlign w:val="bottom"/>
          </w:tcPr>
          <w:p w14:paraId="24EE5889"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esrl.noaa.gov</w:t>
            </w:r>
          </w:p>
        </w:tc>
        <w:tc>
          <w:tcPr>
            <w:tcW w:w="900" w:type="dxa"/>
            <w:vAlign w:val="bottom"/>
          </w:tcPr>
          <w:p w14:paraId="66C74C45"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fldChar w:fldCharType="begin" w:fldLock="1"/>
            </w:r>
            <w:r w:rsidR="00CE116A">
              <w:rPr>
                <w:rFonts w:ascii="Times New Roman" w:hAnsi="Times New Roman" w:cs="Times New Roman"/>
                <w:sz w:val="20"/>
                <w:szCs w:val="20"/>
              </w:rPr>
              <w:instrText>ADDIN CSL_CITATION {"citationItems":[{"id":"ITEM-1","itemData":{"author":[{"dropping-particle":"","family":"Compo","given":"G P","non-dropping-particle":"","parse-names":false,"suffix":""},{"dropping-particle":"","family":"Whitaker","given":"J S","non-dropping-particle":"","parse-names":false,"suffix":""},{"dropping-particle":"","family":"Sardeshmukh","given":"J S","non-dropping-particle":"","parse-names":false,"suffix":""}],"container-title":"Bulletin of the American Meteorological Society","id":"ITEM-1","issued":{"date-parts":[["2006"]]},"page":"175-190","title":"Feasibility of a 100 year reanalysis using only surface pressure data","type":"article-journal","volume":"87"},"uris":["http://www.mendeley.com/documents/?uuid=9155579d-9f21-4aae-88b6-4f926e86d9c5"]}],"mendeley":{"formattedCitation":"[12]","plainTextFormattedCitation":"[12]","previouslyFormattedCitation":"[12]"},"properties":{"noteIndex":0},"schema":"https://github.com/citation-style-language/schema/raw/master/csl-citation.json"}</w:instrText>
            </w:r>
            <w:r w:rsidRPr="00673904">
              <w:rPr>
                <w:rFonts w:ascii="Times New Roman" w:hAnsi="Times New Roman" w:cs="Times New Roman"/>
                <w:sz w:val="20"/>
                <w:szCs w:val="20"/>
              </w:rPr>
              <w:fldChar w:fldCharType="separate"/>
            </w:r>
            <w:r w:rsidR="003870BD" w:rsidRPr="003870BD">
              <w:rPr>
                <w:rFonts w:ascii="Times New Roman" w:hAnsi="Times New Roman" w:cs="Times New Roman"/>
                <w:noProof/>
                <w:sz w:val="20"/>
                <w:szCs w:val="20"/>
              </w:rPr>
              <w:t>[12]</w:t>
            </w:r>
            <w:r w:rsidRPr="00673904">
              <w:rPr>
                <w:rFonts w:ascii="Times New Roman" w:hAnsi="Times New Roman" w:cs="Times New Roman"/>
                <w:sz w:val="20"/>
                <w:szCs w:val="20"/>
              </w:rPr>
              <w:fldChar w:fldCharType="end"/>
            </w:r>
          </w:p>
        </w:tc>
        <w:tc>
          <w:tcPr>
            <w:tcW w:w="2875" w:type="dxa"/>
            <w:vAlign w:val="bottom"/>
          </w:tcPr>
          <w:p w14:paraId="06C5DE5E" w14:textId="77777777" w:rsidR="00673904" w:rsidRPr="00673904" w:rsidRDefault="00673904" w:rsidP="00032692">
            <w:pPr>
              <w:rPr>
                <w:rFonts w:ascii="Times New Roman" w:hAnsi="Times New Roman" w:cs="Times New Roman"/>
                <w:sz w:val="20"/>
                <w:szCs w:val="20"/>
              </w:rPr>
            </w:pPr>
          </w:p>
        </w:tc>
      </w:tr>
      <w:tr w:rsidR="00673904" w:rsidRPr="00673904" w14:paraId="2DF6E668" w14:textId="77777777" w:rsidTr="0006406B">
        <w:tc>
          <w:tcPr>
            <w:tcW w:w="1339" w:type="dxa"/>
            <w:vAlign w:val="bottom"/>
          </w:tcPr>
          <w:p w14:paraId="7698178D"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Wind stress (Fig. 1)</w:t>
            </w:r>
          </w:p>
        </w:tc>
        <w:tc>
          <w:tcPr>
            <w:tcW w:w="1446" w:type="dxa"/>
            <w:vAlign w:val="bottom"/>
          </w:tcPr>
          <w:p w14:paraId="43CC7B87"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SODA 2.2.4</w:t>
            </w:r>
          </w:p>
        </w:tc>
        <w:tc>
          <w:tcPr>
            <w:tcW w:w="1170" w:type="dxa"/>
            <w:vAlign w:val="bottom"/>
          </w:tcPr>
          <w:p w14:paraId="16ABB4E6"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All</w:t>
            </w:r>
          </w:p>
        </w:tc>
        <w:tc>
          <w:tcPr>
            <w:tcW w:w="1620" w:type="dxa"/>
            <w:vAlign w:val="bottom"/>
          </w:tcPr>
          <w:p w14:paraId="5447A0A3"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coastwatch.pfeg.noaa.gov</w:t>
            </w:r>
          </w:p>
        </w:tc>
        <w:tc>
          <w:tcPr>
            <w:tcW w:w="900" w:type="dxa"/>
            <w:vAlign w:val="bottom"/>
          </w:tcPr>
          <w:p w14:paraId="5AEA792F"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fldChar w:fldCharType="begin" w:fldLock="1"/>
            </w:r>
            <w:r w:rsidR="00CE116A">
              <w:rPr>
                <w:rFonts w:ascii="Times New Roman" w:hAnsi="Times New Roman" w:cs="Times New Roman"/>
                <w:sz w:val="20"/>
                <w:szCs w:val="20"/>
              </w:rPr>
              <w:instrText>ADDIN CSL_CITATION {"citationItems":[{"id":"ITEM-1","itemData":{"DOI":"10.1175/2007MWR1978.1","ISBN":"0027-0644","author":[{"dropping-particle":"","family":"Carton","given":"James A","non-dropping-particle":"","parse-names":false,"suffix":""},{"dropping-particle":"","family":"Giese","given":"Benjamin S","non-dropping-particle":"","parse-names":false,"suffix":""}],"container-title":"Monthly Weather Review","id":"ITEM-1","issue":"8","issued":{"date-parts":[["2008"]]},"page":"2999-3017","publisher":"American Meteorological Society","title":"A Reanalysis of Ocean Climate Using Simple Ocean Data Assimilation (SODA)","type":"article-journal","volume":"136"},"uris":["http://www.mendeley.com/documents/?uuid=3acf5973-7e87-432f-a8c2-6b12dd9926b6"]}],"mendeley":{"formattedCitation":"[13]","plainTextFormattedCitation":"[13]","previouslyFormattedCitation":"[13]"},"properties":{"noteIndex":0},"schema":"https://github.com/citation-style-language/schema/raw/master/csl-citation.json"}</w:instrText>
            </w:r>
            <w:r w:rsidRPr="00673904">
              <w:rPr>
                <w:rFonts w:ascii="Times New Roman" w:hAnsi="Times New Roman" w:cs="Times New Roman"/>
                <w:sz w:val="20"/>
                <w:szCs w:val="20"/>
              </w:rPr>
              <w:fldChar w:fldCharType="separate"/>
            </w:r>
            <w:r w:rsidR="003870BD" w:rsidRPr="003870BD">
              <w:rPr>
                <w:rFonts w:ascii="Times New Roman" w:hAnsi="Times New Roman" w:cs="Times New Roman"/>
                <w:noProof/>
                <w:sz w:val="20"/>
                <w:szCs w:val="20"/>
              </w:rPr>
              <w:t>[13]</w:t>
            </w:r>
            <w:r w:rsidRPr="00673904">
              <w:rPr>
                <w:rFonts w:ascii="Times New Roman" w:hAnsi="Times New Roman" w:cs="Times New Roman"/>
                <w:sz w:val="20"/>
                <w:szCs w:val="20"/>
              </w:rPr>
              <w:fldChar w:fldCharType="end"/>
            </w:r>
          </w:p>
        </w:tc>
        <w:tc>
          <w:tcPr>
            <w:tcW w:w="2875" w:type="dxa"/>
            <w:vAlign w:val="bottom"/>
          </w:tcPr>
          <w:p w14:paraId="7037F675" w14:textId="77777777" w:rsidR="00673904" w:rsidRPr="00673904" w:rsidRDefault="00673904" w:rsidP="00032692">
            <w:pPr>
              <w:rPr>
                <w:rFonts w:ascii="Times New Roman" w:hAnsi="Times New Roman" w:cs="Times New Roman"/>
                <w:sz w:val="20"/>
                <w:szCs w:val="20"/>
              </w:rPr>
            </w:pPr>
          </w:p>
        </w:tc>
      </w:tr>
      <w:tr w:rsidR="00673904" w:rsidRPr="00673904" w14:paraId="03FAB075" w14:textId="77777777" w:rsidTr="0006406B">
        <w:tc>
          <w:tcPr>
            <w:tcW w:w="1339" w:type="dxa"/>
            <w:vAlign w:val="bottom"/>
          </w:tcPr>
          <w:p w14:paraId="73F20004"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Ketchikan-Seward SLP difference</w:t>
            </w:r>
          </w:p>
        </w:tc>
        <w:tc>
          <w:tcPr>
            <w:tcW w:w="1446" w:type="dxa"/>
            <w:vAlign w:val="bottom"/>
          </w:tcPr>
          <w:p w14:paraId="25F78A4C"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NOAA-CIRES 20th Century Reanalysis v2c</w:t>
            </w:r>
          </w:p>
        </w:tc>
        <w:tc>
          <w:tcPr>
            <w:tcW w:w="1170" w:type="dxa"/>
            <w:vAlign w:val="bottom"/>
          </w:tcPr>
          <w:p w14:paraId="24814E5E"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NDJFM</w:t>
            </w:r>
          </w:p>
        </w:tc>
        <w:tc>
          <w:tcPr>
            <w:tcW w:w="1620" w:type="dxa"/>
            <w:vAlign w:val="bottom"/>
          </w:tcPr>
          <w:p w14:paraId="0FA82DF0"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esrl.noaa.gov</w:t>
            </w:r>
          </w:p>
        </w:tc>
        <w:tc>
          <w:tcPr>
            <w:tcW w:w="900" w:type="dxa"/>
            <w:vAlign w:val="bottom"/>
          </w:tcPr>
          <w:p w14:paraId="41F71619"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fldChar w:fldCharType="begin" w:fldLock="1"/>
            </w:r>
            <w:r w:rsidR="00CE116A">
              <w:rPr>
                <w:rFonts w:ascii="Times New Roman" w:hAnsi="Times New Roman" w:cs="Times New Roman"/>
                <w:sz w:val="20"/>
                <w:szCs w:val="20"/>
              </w:rPr>
              <w:instrText>ADDIN CSL_CITATION {"citationItems":[{"id":"ITEM-1","itemData":{"DOI":"10.1016/j.dsr2.2004.09.030","ISBN":"0967-0645","author":[{"dropping-particle":"","family":"Weingartner","given":"T J","non-dropping-particle":"","parse-names":false,"suffix":""},{"dropping-particle":"","family":"Danielson","given":"S L","non-dropping-particle":"","parse-names":false,"suffix":""},{"dropping-particle":"","family":"Royer","given":"T C","non-dropping-particle":"","parse-names":false,"suffix":""}],"container-title":"Deep-Sea Research Part Ii-Topical Studies in Oceanography","id":"ITEM-1","issue":"1-2","issued":{"date-parts":[["2005"]]},"note":"Times Cited: 79\nWeingartner, TJ Danielson, SL Royer, TC\n83","page":"169-191","title":"Freshwater variability and predictability in the Alaska Coastal Current","type":"article-journal","volume":"52"},"uris":["http://www.mendeley.com/documents/?uuid=d0580a4b-f246-410d-a392-c951ab16f8bb"]}],"mendeley":{"formattedCitation":"[14]","plainTextFormattedCitation":"[14]","previouslyFormattedCitation":"[14]"},"properties":{"noteIndex":0},"schema":"https://github.com/citation-style-language/schema/raw/master/csl-citation.json"}</w:instrText>
            </w:r>
            <w:r w:rsidRPr="00673904">
              <w:rPr>
                <w:rFonts w:ascii="Times New Roman" w:hAnsi="Times New Roman" w:cs="Times New Roman"/>
                <w:sz w:val="20"/>
                <w:szCs w:val="20"/>
              </w:rPr>
              <w:fldChar w:fldCharType="separate"/>
            </w:r>
            <w:r w:rsidR="003870BD" w:rsidRPr="003870BD">
              <w:rPr>
                <w:rFonts w:ascii="Times New Roman" w:hAnsi="Times New Roman" w:cs="Times New Roman"/>
                <w:noProof/>
                <w:sz w:val="20"/>
                <w:szCs w:val="20"/>
              </w:rPr>
              <w:t>[14]</w:t>
            </w:r>
            <w:r w:rsidRPr="00673904">
              <w:rPr>
                <w:rFonts w:ascii="Times New Roman" w:hAnsi="Times New Roman" w:cs="Times New Roman"/>
                <w:sz w:val="20"/>
                <w:szCs w:val="20"/>
              </w:rPr>
              <w:fldChar w:fldCharType="end"/>
            </w:r>
          </w:p>
        </w:tc>
        <w:tc>
          <w:tcPr>
            <w:tcW w:w="2875" w:type="dxa"/>
            <w:vAlign w:val="bottom"/>
          </w:tcPr>
          <w:p w14:paraId="3F17829E"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Proxy for onshore windflow and precipitation</w:t>
            </w:r>
          </w:p>
        </w:tc>
      </w:tr>
      <w:tr w:rsidR="00673904" w:rsidRPr="00673904" w14:paraId="44F24B60" w14:textId="77777777" w:rsidTr="0006406B">
        <w:tc>
          <w:tcPr>
            <w:tcW w:w="1339" w:type="dxa"/>
            <w:vAlign w:val="bottom"/>
          </w:tcPr>
          <w:p w14:paraId="43502FCD"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Freshwater discharge</w:t>
            </w:r>
          </w:p>
        </w:tc>
        <w:tc>
          <w:tcPr>
            <w:tcW w:w="1446" w:type="dxa"/>
            <w:vAlign w:val="bottom"/>
          </w:tcPr>
          <w:p w14:paraId="7646A742"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Hill et al.</w:t>
            </w:r>
          </w:p>
        </w:tc>
        <w:tc>
          <w:tcPr>
            <w:tcW w:w="1170" w:type="dxa"/>
            <w:vAlign w:val="bottom"/>
          </w:tcPr>
          <w:p w14:paraId="0F8B7C60"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MAM</w:t>
            </w:r>
          </w:p>
        </w:tc>
        <w:tc>
          <w:tcPr>
            <w:tcW w:w="1620" w:type="dxa"/>
            <w:vAlign w:val="bottom"/>
          </w:tcPr>
          <w:p w14:paraId="752F29D7"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D. Hill, Oregon State University, pers. comm.</w:t>
            </w:r>
          </w:p>
        </w:tc>
        <w:tc>
          <w:tcPr>
            <w:tcW w:w="900" w:type="dxa"/>
            <w:vAlign w:val="bottom"/>
          </w:tcPr>
          <w:p w14:paraId="2D651B70"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fldChar w:fldCharType="begin" w:fldLock="1"/>
            </w:r>
            <w:r w:rsidR="00CE116A">
              <w:rPr>
                <w:rFonts w:ascii="Times New Roman" w:hAnsi="Times New Roman" w:cs="Times New Roman"/>
                <w:sz w:val="20"/>
                <w:szCs w:val="20"/>
              </w:rPr>
              <w:instrText>ADDIN CSL_CITATION {"citationItems":[{"id":"ITEM-1","itemData":{"author":[{"dropping-particle":"","family":"Hill","given":"D F","non-dropping-particle":"","parse-names":false,"suffix":""},{"dropping-particle":"","family":"Bruhis","given":"N","non-dropping-particle":"","parse-names":false,"suffix":""},{"dropping-particle":"","family":"Calos","given":"S E","non-dropping-particle":"","parse-names":false,"suffix":""},{"dropping-particle":"","family":"Arendt","given":"A","non-dropping-particle":"","parse-names":false,"suffix":""},{"dropping-particle":"","family":"Beamer","given":"J","non-dropping-particle":"","parse-names":false,"suffix":""}],"container-title":"Journal of Geophysical Research (Oceans)","id":"ITEM-1","issued":{"date-parts":[["2015"]]},"title":"Spatial and temporal variability of freshwater discharge into the Gulf of Alaska","type":"article-journal","volume":"10.1002/20"},"uris":["http://www.mendeley.com/documents/?uuid=671746de-8cb0-4a37-9005-c7f82f300524"]},{"id":"ITEM-2","itemData":{"author":[{"dropping-particle":"","family":"Henson","given":"Stephanie A","non-dropping-particle":"","parse-names":false,"suffix":""}],"container-title":"Journal of Marine Research","id":"ITEM-2","issued":{"date-parts":[["2007"]]},"page":"715-736","title":"Water column stability and spring bloom dynamics in the Gulf of Alaska","type":"article-journal","volume":"65"},"uris":["http://www.mendeley.com/documents/?uuid=b9748e82-5474-4227-b15b-8acb6916cc2b"]}],"mendeley":{"formattedCitation":"[15,16]","plainTextFormattedCitation":"[15,16]","previouslyFormattedCitation":"[15,16]"},"properties":{"noteIndex":0},"schema":"https://github.com/citation-style-language/schema/raw/master/csl-citation.json"}</w:instrText>
            </w:r>
            <w:r w:rsidRPr="00673904">
              <w:rPr>
                <w:rFonts w:ascii="Times New Roman" w:hAnsi="Times New Roman" w:cs="Times New Roman"/>
                <w:sz w:val="20"/>
                <w:szCs w:val="20"/>
              </w:rPr>
              <w:fldChar w:fldCharType="separate"/>
            </w:r>
            <w:r w:rsidR="003870BD" w:rsidRPr="003870BD">
              <w:rPr>
                <w:rFonts w:ascii="Times New Roman" w:hAnsi="Times New Roman" w:cs="Times New Roman"/>
                <w:noProof/>
                <w:sz w:val="20"/>
                <w:szCs w:val="20"/>
              </w:rPr>
              <w:t>[15,16]</w:t>
            </w:r>
            <w:r w:rsidRPr="00673904">
              <w:rPr>
                <w:rFonts w:ascii="Times New Roman" w:hAnsi="Times New Roman" w:cs="Times New Roman"/>
                <w:sz w:val="20"/>
                <w:szCs w:val="20"/>
              </w:rPr>
              <w:fldChar w:fldCharType="end"/>
            </w:r>
          </w:p>
        </w:tc>
        <w:tc>
          <w:tcPr>
            <w:tcW w:w="2875" w:type="dxa"/>
            <w:vAlign w:val="bottom"/>
          </w:tcPr>
          <w:p w14:paraId="1ADA54C2"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Late winter/spring, corresponding to onset of stratification</w:t>
            </w:r>
          </w:p>
        </w:tc>
      </w:tr>
      <w:tr w:rsidR="00673904" w:rsidRPr="00673904" w14:paraId="6A1E6FE7" w14:textId="77777777" w:rsidTr="0006406B">
        <w:tc>
          <w:tcPr>
            <w:tcW w:w="1339" w:type="dxa"/>
            <w:vAlign w:val="bottom"/>
          </w:tcPr>
          <w:p w14:paraId="1E4284DC"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20m salinity</w:t>
            </w:r>
          </w:p>
        </w:tc>
        <w:tc>
          <w:tcPr>
            <w:tcW w:w="1446" w:type="dxa"/>
            <w:vAlign w:val="bottom"/>
          </w:tcPr>
          <w:p w14:paraId="78EF9D5F"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GAK1</w:t>
            </w:r>
          </w:p>
        </w:tc>
        <w:tc>
          <w:tcPr>
            <w:tcW w:w="1170" w:type="dxa"/>
            <w:vAlign w:val="bottom"/>
          </w:tcPr>
          <w:p w14:paraId="1B754139"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FMA</w:t>
            </w:r>
          </w:p>
        </w:tc>
        <w:tc>
          <w:tcPr>
            <w:tcW w:w="1620" w:type="dxa"/>
            <w:vAlign w:val="bottom"/>
          </w:tcPr>
          <w:p w14:paraId="7C53D6FC"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ims.uaf.edu</w:t>
            </w:r>
          </w:p>
        </w:tc>
        <w:tc>
          <w:tcPr>
            <w:tcW w:w="900" w:type="dxa"/>
            <w:vAlign w:val="bottom"/>
          </w:tcPr>
          <w:p w14:paraId="376B72FD"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fldChar w:fldCharType="begin" w:fldLock="1"/>
            </w:r>
            <w:r w:rsidR="00CE116A">
              <w:rPr>
                <w:rFonts w:ascii="Times New Roman" w:hAnsi="Times New Roman" w:cs="Times New Roman"/>
                <w:sz w:val="20"/>
                <w:szCs w:val="20"/>
              </w:rPr>
              <w:instrText>ADDIN CSL_CITATION {"citationItems":[{"id":"ITEM-1","itemData":{"author":[{"dropping-particle":"","family":"Henson","given":"Stephanie A","non-dropping-particle":"","parse-names":false,"suffix":""}],"container-title":"Journal of Marine Research","id":"ITEM-1","issued":{"date-parts":[["2007"]]},"page":"715-736","title":"Water column stability and spring bloom dynamics in the Gulf of Alaska","type":"article-journal","volume":"65"},"uris":["http://www.mendeley.com/documents/?uuid=b9748e82-5474-4227-b15b-8acb6916cc2b"]}],"mendeley":{"formattedCitation":"[16]","plainTextFormattedCitation":"[16]","previouslyFormattedCitation":"[16]"},"properties":{"noteIndex":0},"schema":"https://github.com/citation-style-language/schema/raw/master/csl-citation.json"}</w:instrText>
            </w:r>
            <w:r w:rsidRPr="00673904">
              <w:rPr>
                <w:rFonts w:ascii="Times New Roman" w:hAnsi="Times New Roman" w:cs="Times New Roman"/>
                <w:sz w:val="20"/>
                <w:szCs w:val="20"/>
              </w:rPr>
              <w:fldChar w:fldCharType="separate"/>
            </w:r>
            <w:r w:rsidR="003870BD" w:rsidRPr="003870BD">
              <w:rPr>
                <w:rFonts w:ascii="Times New Roman" w:hAnsi="Times New Roman" w:cs="Times New Roman"/>
                <w:noProof/>
                <w:sz w:val="20"/>
                <w:szCs w:val="20"/>
              </w:rPr>
              <w:t>[16]</w:t>
            </w:r>
            <w:r w:rsidRPr="00673904">
              <w:rPr>
                <w:rFonts w:ascii="Times New Roman" w:hAnsi="Times New Roman" w:cs="Times New Roman"/>
                <w:sz w:val="20"/>
                <w:szCs w:val="20"/>
              </w:rPr>
              <w:fldChar w:fldCharType="end"/>
            </w:r>
          </w:p>
        </w:tc>
        <w:tc>
          <w:tcPr>
            <w:tcW w:w="2875" w:type="dxa"/>
            <w:vAlign w:val="bottom"/>
          </w:tcPr>
          <w:p w14:paraId="30272E0D"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Late winter/spring, corresponding to onset of stratification and period with weak seasonal signal, aiding comparison among years with different sampling dates. Effect of sampling date removed prior to analysis.</w:t>
            </w:r>
          </w:p>
        </w:tc>
      </w:tr>
      <w:tr w:rsidR="00673904" w:rsidRPr="00673904" w14:paraId="4E7C215D" w14:textId="77777777" w:rsidTr="0006406B">
        <w:tc>
          <w:tcPr>
            <w:tcW w:w="1339" w:type="dxa"/>
            <w:vAlign w:val="bottom"/>
          </w:tcPr>
          <w:p w14:paraId="2CB7E030"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Downwelling intensity</w:t>
            </w:r>
          </w:p>
        </w:tc>
        <w:tc>
          <w:tcPr>
            <w:tcW w:w="1446" w:type="dxa"/>
            <w:vAlign w:val="bottom"/>
          </w:tcPr>
          <w:p w14:paraId="2520612A"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Bakun indices</w:t>
            </w:r>
          </w:p>
        </w:tc>
        <w:tc>
          <w:tcPr>
            <w:tcW w:w="1170" w:type="dxa"/>
            <w:vAlign w:val="bottom"/>
          </w:tcPr>
          <w:p w14:paraId="663C45EC"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JJA</w:t>
            </w:r>
          </w:p>
        </w:tc>
        <w:tc>
          <w:tcPr>
            <w:tcW w:w="1620" w:type="dxa"/>
            <w:vAlign w:val="bottom"/>
          </w:tcPr>
          <w:p w14:paraId="31535B62"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pfeg.noaa.gov</w:t>
            </w:r>
          </w:p>
        </w:tc>
        <w:tc>
          <w:tcPr>
            <w:tcW w:w="900" w:type="dxa"/>
            <w:vAlign w:val="bottom"/>
          </w:tcPr>
          <w:p w14:paraId="65E5809D"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fldChar w:fldCharType="begin" w:fldLock="1"/>
            </w:r>
            <w:r w:rsidR="00CE116A">
              <w:rPr>
                <w:rFonts w:ascii="Times New Roman" w:hAnsi="Times New Roman" w:cs="Times New Roman"/>
                <w:sz w:val="20"/>
                <w:szCs w:val="20"/>
              </w:rPr>
              <w:instrText>ADDIN CSL_CITATION {"citationItems":[{"id":"ITEM-1","itemData":{"DOI":"10.1126/science.247.4939.198","ISBN":"0036-8075","author":[{"dropping-particle":"","family":"Bakun","given":"A","non-dropping-particle":"","parse-names":false,"suffix":""}],"container-title":"Science","id":"ITEM-1","issue":"4939","issued":{"date-parts":[["1990"]]},"note":"Times Cited: 596\nBakun, a\nReboreda, Rosa/A-2518-2012\nBakun, Andrew/0000-0002-4366-3846\n612","page":"198-201","title":"Global climate change and intensification of coastal ocean upwelling","type":"article-journal","volume":"247"},"uris":["http://www.mendeley.com/documents/?uuid=ded15f0d-5f75-4af3-8262-690f993e3815"]}],"mendeley":{"formattedCitation":"[17]","plainTextFormattedCitation":"[17]","previouslyFormattedCitation":"[17]"},"properties":{"noteIndex":0},"schema":"https://github.com/citation-style-language/schema/raw/master/csl-citation.json"}</w:instrText>
            </w:r>
            <w:r w:rsidRPr="00673904">
              <w:rPr>
                <w:rFonts w:ascii="Times New Roman" w:hAnsi="Times New Roman" w:cs="Times New Roman"/>
                <w:sz w:val="20"/>
                <w:szCs w:val="20"/>
              </w:rPr>
              <w:fldChar w:fldCharType="separate"/>
            </w:r>
            <w:r w:rsidR="003870BD" w:rsidRPr="003870BD">
              <w:rPr>
                <w:rFonts w:ascii="Times New Roman" w:hAnsi="Times New Roman" w:cs="Times New Roman"/>
                <w:noProof/>
                <w:sz w:val="20"/>
                <w:szCs w:val="20"/>
              </w:rPr>
              <w:t>[17]</w:t>
            </w:r>
            <w:r w:rsidRPr="00673904">
              <w:rPr>
                <w:rFonts w:ascii="Times New Roman" w:hAnsi="Times New Roman" w:cs="Times New Roman"/>
                <w:sz w:val="20"/>
                <w:szCs w:val="20"/>
              </w:rPr>
              <w:fldChar w:fldCharType="end"/>
            </w:r>
          </w:p>
        </w:tc>
        <w:tc>
          <w:tcPr>
            <w:tcW w:w="2875" w:type="dxa"/>
            <w:vAlign w:val="bottom"/>
          </w:tcPr>
          <w:p w14:paraId="3083E1D9"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Summer, corresponding to ocean entry by outmigrating salmon. Average of anomalies for three stations: 60º N,149º W; 60º N,146ºW; 57º N,137º W</w:t>
            </w:r>
          </w:p>
        </w:tc>
      </w:tr>
      <w:tr w:rsidR="00673904" w:rsidRPr="00673904" w14:paraId="414FDCAC" w14:textId="77777777" w:rsidTr="0006406B">
        <w:tc>
          <w:tcPr>
            <w:tcW w:w="1339" w:type="dxa"/>
            <w:vAlign w:val="bottom"/>
          </w:tcPr>
          <w:p w14:paraId="0B18DD55"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Wind stress (Figs. 3, 6)</w:t>
            </w:r>
          </w:p>
        </w:tc>
        <w:tc>
          <w:tcPr>
            <w:tcW w:w="1446" w:type="dxa"/>
            <w:vAlign w:val="bottom"/>
          </w:tcPr>
          <w:p w14:paraId="53EFB29C"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JRA-55 Reanalysis</w:t>
            </w:r>
          </w:p>
        </w:tc>
        <w:tc>
          <w:tcPr>
            <w:tcW w:w="1170" w:type="dxa"/>
            <w:vAlign w:val="bottom"/>
          </w:tcPr>
          <w:p w14:paraId="2DA3F55F"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All</w:t>
            </w:r>
          </w:p>
        </w:tc>
        <w:tc>
          <w:tcPr>
            <w:tcW w:w="1620" w:type="dxa"/>
            <w:vAlign w:val="bottom"/>
          </w:tcPr>
          <w:p w14:paraId="06090A2B"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jra.kishou.go.jp</w:t>
            </w:r>
          </w:p>
        </w:tc>
        <w:tc>
          <w:tcPr>
            <w:tcW w:w="900" w:type="dxa"/>
            <w:vAlign w:val="bottom"/>
          </w:tcPr>
          <w:p w14:paraId="23D7C021"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fldChar w:fldCharType="begin" w:fldLock="1"/>
            </w:r>
            <w:r w:rsidR="00CE116A">
              <w:rPr>
                <w:rFonts w:ascii="Times New Roman" w:hAnsi="Times New Roman" w:cs="Times New Roman"/>
                <w:sz w:val="20"/>
                <w:szCs w:val="20"/>
              </w:rPr>
              <w:instrText>ADDIN CSL_CITATION {"citationItems":[{"id":"ITEM-1","itemData":{"DOI":"10.2151/jmsj.2015-001","ISSN":"0026-1165","abstract":"The Japan Meteorological Agency (JMA) conducted the second Japanese\nglobal atmospheric reanalysis, called the Japanese 55-year Reanalysis or\nJRA-55. It covers the period from 1958, when regular radiosonde\nobservations began on a global basis. JRA-55 is the first comprehensive\nreanalysis that has covered the last half-century since the European\nCentre for Medium-Range Weather Forecasts 45-year Reanalysis (ERA-40),\nand is the first one to apply four-dimensional variational analysis to\nthis period. The main objectives of JRA-55 were to address issues found\nin previous reanalyses and to produce a comprehensive atmospheric\ndataset suitable for studying multidecadal variability and climate\nchange. This paper describes the observations, data assimilation system,\nand forecast model used to produce JRA-55 as well as the basic\ncharacteristics of the JRA-55 product.\nJRA-55 has been produced with the TL319 version of JMA's operational\ndata assimilation system as of December 2009, which was extensively\nimproved since the Japanese 25-year Reanalysis (JRA-25). It also uses\nseveral newly available and improved past observations. The resulting\nreanalysis products are considerably better than the JRA-25 product. Two\nmajor problems of JRA-25 were a cold bias in the lower stratosphere,\nwhich has been diminished, and a dry bias in the Amazon basin, which has\nbeen mitigated. The temporal consistency of temperature analysis has\nalso been considerably improved compared to previous reanalysis\nproducts. Our initial quality evaluation revealed problems such as a\nwarm bias in the upper troposphere, large upward imbalance in the global\nmean net energy fluxes at the top of the atmosphere and at the surface,\nexcessive precipitation over the tropics, and unrealistic trends in\nanalyzed tropical cyclone strength. This paper also assesses the impacts\nof model biases and changes in the observing system, and mentions\nefforts to further investigate the representation of low-frequency\nvariability and trends in JRA-55.","author":[{"dropping-particle":"","family":"Kobayashi","given":"Shinya","non-dropping-particle":"","parse-names":false,"suffix":""},{"dropping-particle":"","family":"Ota","given":"Yukinari","non-dropping-particle":"","parse-names":false,"suffix":""},{"dropping-particle":"","family":"Harada","given":"Yayoi","non-dropping-particle":"","parse-names":false,"suffix":""},{"dropping-particle":"","family":"Ebita","given":"Ayataka","non-dropping-particle":"","parse-names":false,"suffix":""},{"dropping-particle":"","family":"Moriya","given":"Masami","non-dropping-particle":"","parse-names":false,"suffix":""},{"dropping-particle":"","family":"Onoda","given":"Hirokatsu","non-dropping-particle":"","parse-names":false,"suffix":""},{"dropping-particle":"","family":"Onogi","given":"Kazutoshi","non-dropping-particle":"","parse-names":false,"suffix":""},{"dropping-particle":"","family":"Kamahori","given":"Hirotaka","non-dropping-particle":"","parse-names":false,"suffix":""},{"dropping-particle":"","family":"Kobayashi","given":"Chiaki","non-dropping-particle":"","parse-names":false,"suffix":""},{"dropping-particle":"","family":"Endo","given":"Hirokazu","non-dropping-particle":"","parse-names":false,"suffix":""},{"dropping-particle":"","family":"Miyaoka","given":"Kengo","non-dropping-particle":"","parse-names":false,"suffix":""},{"dropping-particle":"","family":"Takahashi","given":"Kiyotoshi","non-dropping-particle":"","parse-names":false,"suffix":""}],"container-title":"JOURNAL OF THE METEOROLOGICAL SOCIETY OF JAPAN","id":"ITEM-1","issue":"1","issued":{"date-parts":[["2015"]]},"page":"5-48","title":"The JRA-55 Reanalysis: General Specifications and Basic Characteristics","type":"article-journal","volume":"93"},"uris":["http://www.mendeley.com/documents/?uuid=55a0cab5-c43f-4181-90a2-8d51fbdb259e"]}],"mendeley":{"formattedCitation":"[18]","plainTextFormattedCitation":"[18]","previouslyFormattedCitation":"[18]"},"properties":{"noteIndex":0},"schema":"https://github.com/citation-style-language/schema/raw/master/csl-citation.json"}</w:instrText>
            </w:r>
            <w:r w:rsidRPr="00673904">
              <w:rPr>
                <w:rFonts w:ascii="Times New Roman" w:hAnsi="Times New Roman" w:cs="Times New Roman"/>
                <w:sz w:val="20"/>
                <w:szCs w:val="20"/>
              </w:rPr>
              <w:fldChar w:fldCharType="separate"/>
            </w:r>
            <w:r w:rsidR="003870BD" w:rsidRPr="003870BD">
              <w:rPr>
                <w:rFonts w:ascii="Times New Roman" w:hAnsi="Times New Roman" w:cs="Times New Roman"/>
                <w:noProof/>
                <w:sz w:val="20"/>
                <w:szCs w:val="20"/>
              </w:rPr>
              <w:t>[18]</w:t>
            </w:r>
            <w:r w:rsidRPr="00673904">
              <w:rPr>
                <w:rFonts w:ascii="Times New Roman" w:hAnsi="Times New Roman" w:cs="Times New Roman"/>
                <w:sz w:val="20"/>
                <w:szCs w:val="20"/>
              </w:rPr>
              <w:fldChar w:fldCharType="end"/>
            </w:r>
          </w:p>
        </w:tc>
        <w:tc>
          <w:tcPr>
            <w:tcW w:w="2875" w:type="dxa"/>
            <w:vAlign w:val="bottom"/>
          </w:tcPr>
          <w:p w14:paraId="26F287C8"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PC1 of wind stress magnitude over the ocean, east of 180º, between 45º-65º N, PC1 score smoothed with 11-mo rolling mean.</w:t>
            </w:r>
          </w:p>
        </w:tc>
      </w:tr>
      <w:tr w:rsidR="00673904" w:rsidRPr="00673904" w14:paraId="37AB1BAC" w14:textId="77777777" w:rsidTr="0006406B">
        <w:tc>
          <w:tcPr>
            <w:tcW w:w="1339" w:type="dxa"/>
            <w:vAlign w:val="bottom"/>
          </w:tcPr>
          <w:p w14:paraId="2FD1843C"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Advection</w:t>
            </w:r>
          </w:p>
        </w:tc>
        <w:tc>
          <w:tcPr>
            <w:tcW w:w="1446" w:type="dxa"/>
            <w:vAlign w:val="bottom"/>
          </w:tcPr>
          <w:p w14:paraId="13CAABCB"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Ocean Station Papa Index</w:t>
            </w:r>
          </w:p>
        </w:tc>
        <w:tc>
          <w:tcPr>
            <w:tcW w:w="1170" w:type="dxa"/>
            <w:vAlign w:val="bottom"/>
          </w:tcPr>
          <w:p w14:paraId="612D54D9"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DJF</w:t>
            </w:r>
          </w:p>
        </w:tc>
        <w:tc>
          <w:tcPr>
            <w:tcW w:w="1620" w:type="dxa"/>
            <w:vAlign w:val="bottom"/>
          </w:tcPr>
          <w:p w14:paraId="231CFB53"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S. Zador, NOAA, pers. comm.</w:t>
            </w:r>
          </w:p>
        </w:tc>
        <w:tc>
          <w:tcPr>
            <w:tcW w:w="900" w:type="dxa"/>
            <w:vAlign w:val="bottom"/>
          </w:tcPr>
          <w:p w14:paraId="7CD5AC02" w14:textId="77777777" w:rsidR="00EF5066"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pfeg.</w:t>
            </w:r>
          </w:p>
          <w:p w14:paraId="54B86D17" w14:textId="77777777" w:rsidR="00EF5066"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noaa.</w:t>
            </w:r>
          </w:p>
          <w:p w14:paraId="29E2679C" w14:textId="423DE498"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gov</w:t>
            </w:r>
          </w:p>
        </w:tc>
        <w:tc>
          <w:tcPr>
            <w:tcW w:w="2875" w:type="dxa"/>
            <w:vAlign w:val="bottom"/>
          </w:tcPr>
          <w:p w14:paraId="6DAD97F2" w14:textId="77777777" w:rsidR="00673904" w:rsidRPr="00673904" w:rsidRDefault="00673904" w:rsidP="00032692">
            <w:pPr>
              <w:rPr>
                <w:rFonts w:ascii="Times New Roman" w:hAnsi="Times New Roman" w:cs="Times New Roman"/>
                <w:sz w:val="20"/>
                <w:szCs w:val="20"/>
              </w:rPr>
            </w:pPr>
            <w:r w:rsidRPr="00673904">
              <w:rPr>
                <w:rFonts w:ascii="Times New Roman" w:hAnsi="Times New Roman" w:cs="Times New Roman"/>
                <w:sz w:val="20"/>
                <w:szCs w:val="20"/>
              </w:rPr>
              <w:t>End latitude of a particle released at Ocean Station Papa on Dec, 1, after 90 days, as estimated by the OSCURS model</w:t>
            </w:r>
          </w:p>
        </w:tc>
      </w:tr>
    </w:tbl>
    <w:p w14:paraId="3A515998" w14:textId="77777777" w:rsidR="00673904" w:rsidRDefault="00673904" w:rsidP="00A13BA5">
      <w:pPr>
        <w:spacing w:line="360" w:lineRule="auto"/>
        <w:rPr>
          <w:rFonts w:ascii="Times New Roman" w:hAnsi="Times New Roman" w:cs="Times New Roman"/>
          <w:b/>
        </w:rPr>
      </w:pPr>
    </w:p>
    <w:p w14:paraId="5DE6FA54" w14:textId="77777777" w:rsidR="00673904" w:rsidRDefault="00673904" w:rsidP="00A13BA5">
      <w:pPr>
        <w:spacing w:line="360" w:lineRule="auto"/>
        <w:rPr>
          <w:rFonts w:ascii="Times New Roman" w:hAnsi="Times New Roman" w:cs="Times New Roman"/>
          <w:b/>
        </w:rPr>
      </w:pPr>
      <w:r>
        <w:rPr>
          <w:rFonts w:ascii="Times New Roman" w:hAnsi="Times New Roman" w:cs="Times New Roman"/>
          <w:b/>
        </w:rPr>
        <w:br w:type="page"/>
      </w:r>
    </w:p>
    <w:p w14:paraId="011E47C1" w14:textId="77777777" w:rsidR="00683876" w:rsidRPr="00673904" w:rsidRDefault="00673904" w:rsidP="00032692">
      <w:pPr>
        <w:rPr>
          <w:rFonts w:ascii="Times New Roman" w:hAnsi="Times New Roman" w:cs="Times New Roman"/>
        </w:rPr>
      </w:pPr>
      <w:r w:rsidRPr="00673904">
        <w:rPr>
          <w:rFonts w:ascii="Times New Roman" w:hAnsi="Times New Roman" w:cs="Times New Roman"/>
          <w:b/>
        </w:rPr>
        <w:lastRenderedPageBreak/>
        <w:t>Table S3</w:t>
      </w:r>
      <w:r w:rsidR="00683876" w:rsidRPr="00673904">
        <w:rPr>
          <w:rFonts w:ascii="Times New Roman" w:hAnsi="Times New Roman" w:cs="Times New Roman"/>
          <w:b/>
        </w:rPr>
        <w:t xml:space="preserve">. </w:t>
      </w:r>
      <w:r w:rsidR="00683876" w:rsidRPr="00673904">
        <w:rPr>
          <w:rFonts w:ascii="Times New Roman" w:hAnsi="Times New Roman" w:cs="Times New Roman"/>
        </w:rPr>
        <w:t>Alaska Department of Fish and Game management areas designated as primarily wild or significantly hatchery-subsidized for mixed-effects tests of nonstationary SST effects on wild and hatchery fisheries. Percentages in parentheses indicate proportion of hatchery fish in the 2016 commercial catch.</w:t>
      </w:r>
    </w:p>
    <w:p w14:paraId="01B3656C" w14:textId="77777777" w:rsidR="00683876" w:rsidRPr="00673904" w:rsidRDefault="00683876" w:rsidP="00A13BA5">
      <w:pPr>
        <w:spacing w:line="360" w:lineRule="auto"/>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5"/>
        <w:gridCol w:w="3965"/>
        <w:gridCol w:w="3865"/>
      </w:tblGrid>
      <w:tr w:rsidR="00683876" w:rsidRPr="00673904" w14:paraId="4C7E7E5F" w14:textId="77777777" w:rsidTr="000B5B57">
        <w:tc>
          <w:tcPr>
            <w:tcW w:w="1255" w:type="dxa"/>
            <w:tcBorders>
              <w:bottom w:val="single" w:sz="4" w:space="0" w:color="auto"/>
            </w:tcBorders>
          </w:tcPr>
          <w:p w14:paraId="5A469D73" w14:textId="77777777" w:rsidR="00683876" w:rsidRPr="00673904" w:rsidRDefault="00683876" w:rsidP="00A13BA5">
            <w:pPr>
              <w:spacing w:line="360" w:lineRule="auto"/>
              <w:rPr>
                <w:rFonts w:ascii="Times New Roman" w:hAnsi="Times New Roman" w:cs="Times New Roman"/>
                <w:b/>
                <w:sz w:val="22"/>
                <w:szCs w:val="22"/>
              </w:rPr>
            </w:pPr>
            <w:r w:rsidRPr="00673904">
              <w:rPr>
                <w:rFonts w:ascii="Times New Roman" w:hAnsi="Times New Roman" w:cs="Times New Roman"/>
                <w:b/>
                <w:sz w:val="22"/>
                <w:szCs w:val="22"/>
              </w:rPr>
              <w:t>Species</w:t>
            </w:r>
          </w:p>
        </w:tc>
        <w:tc>
          <w:tcPr>
            <w:tcW w:w="3965" w:type="dxa"/>
            <w:tcBorders>
              <w:bottom w:val="single" w:sz="4" w:space="0" w:color="auto"/>
            </w:tcBorders>
          </w:tcPr>
          <w:p w14:paraId="62133979" w14:textId="77777777" w:rsidR="00683876" w:rsidRPr="00673904" w:rsidRDefault="00683876" w:rsidP="00A13BA5">
            <w:pPr>
              <w:spacing w:line="360" w:lineRule="auto"/>
              <w:rPr>
                <w:rFonts w:ascii="Times New Roman" w:hAnsi="Times New Roman" w:cs="Times New Roman"/>
                <w:b/>
                <w:sz w:val="22"/>
                <w:szCs w:val="22"/>
              </w:rPr>
            </w:pPr>
            <w:r w:rsidRPr="00673904">
              <w:rPr>
                <w:rFonts w:ascii="Times New Roman" w:hAnsi="Times New Roman" w:cs="Times New Roman"/>
                <w:b/>
                <w:sz w:val="22"/>
                <w:szCs w:val="22"/>
              </w:rPr>
              <w:t>Wild Areas</w:t>
            </w:r>
          </w:p>
        </w:tc>
        <w:tc>
          <w:tcPr>
            <w:tcW w:w="3865" w:type="dxa"/>
            <w:tcBorders>
              <w:bottom w:val="single" w:sz="4" w:space="0" w:color="auto"/>
            </w:tcBorders>
          </w:tcPr>
          <w:p w14:paraId="1690CFBF" w14:textId="77777777" w:rsidR="00683876" w:rsidRPr="00673904" w:rsidRDefault="00683876" w:rsidP="00A13BA5">
            <w:pPr>
              <w:spacing w:line="360" w:lineRule="auto"/>
              <w:rPr>
                <w:rFonts w:ascii="Times New Roman" w:hAnsi="Times New Roman" w:cs="Times New Roman"/>
                <w:b/>
                <w:sz w:val="22"/>
                <w:szCs w:val="22"/>
              </w:rPr>
            </w:pPr>
            <w:r w:rsidRPr="00673904">
              <w:rPr>
                <w:rFonts w:ascii="Times New Roman" w:hAnsi="Times New Roman" w:cs="Times New Roman"/>
                <w:b/>
                <w:sz w:val="22"/>
                <w:szCs w:val="22"/>
              </w:rPr>
              <w:t>Hatchery Areas</w:t>
            </w:r>
          </w:p>
        </w:tc>
      </w:tr>
      <w:tr w:rsidR="00683876" w:rsidRPr="00673904" w14:paraId="46C76239" w14:textId="77777777" w:rsidTr="000B5B57">
        <w:tc>
          <w:tcPr>
            <w:tcW w:w="1255" w:type="dxa"/>
            <w:tcBorders>
              <w:top w:val="single" w:sz="4" w:space="0" w:color="auto"/>
            </w:tcBorders>
          </w:tcPr>
          <w:p w14:paraId="2BC2CDE4" w14:textId="77777777" w:rsidR="00683876" w:rsidRPr="00673904" w:rsidRDefault="00683876" w:rsidP="00A13BA5">
            <w:pPr>
              <w:spacing w:line="360" w:lineRule="auto"/>
              <w:rPr>
                <w:rFonts w:ascii="Times New Roman" w:hAnsi="Times New Roman" w:cs="Times New Roman"/>
                <w:sz w:val="22"/>
                <w:szCs w:val="22"/>
              </w:rPr>
            </w:pPr>
            <w:r w:rsidRPr="00673904">
              <w:rPr>
                <w:rFonts w:ascii="Times New Roman" w:hAnsi="Times New Roman" w:cs="Times New Roman"/>
                <w:sz w:val="22"/>
                <w:szCs w:val="22"/>
              </w:rPr>
              <w:t>Pink</w:t>
            </w:r>
          </w:p>
        </w:tc>
        <w:tc>
          <w:tcPr>
            <w:tcW w:w="3965" w:type="dxa"/>
            <w:tcBorders>
              <w:top w:val="single" w:sz="4" w:space="0" w:color="auto"/>
            </w:tcBorders>
          </w:tcPr>
          <w:p w14:paraId="6B617353" w14:textId="77777777" w:rsidR="00683876" w:rsidRPr="00673904" w:rsidRDefault="00683876" w:rsidP="00A13BA5">
            <w:pPr>
              <w:spacing w:line="360" w:lineRule="auto"/>
              <w:rPr>
                <w:rFonts w:ascii="Times New Roman" w:hAnsi="Times New Roman" w:cs="Times New Roman"/>
                <w:sz w:val="22"/>
                <w:szCs w:val="22"/>
              </w:rPr>
            </w:pPr>
            <w:r w:rsidRPr="00673904">
              <w:rPr>
                <w:rFonts w:ascii="Times New Roman" w:hAnsi="Times New Roman" w:cs="Times New Roman"/>
                <w:sz w:val="22"/>
                <w:szCs w:val="22"/>
              </w:rPr>
              <w:t>Southeast (2%), Chignik (0%), South Peninsula (0%)</w:t>
            </w:r>
          </w:p>
        </w:tc>
        <w:tc>
          <w:tcPr>
            <w:tcW w:w="3865" w:type="dxa"/>
            <w:tcBorders>
              <w:top w:val="single" w:sz="4" w:space="0" w:color="auto"/>
            </w:tcBorders>
          </w:tcPr>
          <w:p w14:paraId="14922CA5" w14:textId="77777777" w:rsidR="00683876" w:rsidRPr="00673904" w:rsidRDefault="00683876" w:rsidP="00A13BA5">
            <w:pPr>
              <w:spacing w:line="360" w:lineRule="auto"/>
              <w:rPr>
                <w:rFonts w:ascii="Times New Roman" w:hAnsi="Times New Roman" w:cs="Times New Roman"/>
                <w:sz w:val="22"/>
                <w:szCs w:val="22"/>
              </w:rPr>
            </w:pPr>
            <w:r w:rsidRPr="00673904">
              <w:rPr>
                <w:rFonts w:ascii="Times New Roman" w:hAnsi="Times New Roman" w:cs="Times New Roman"/>
                <w:sz w:val="22"/>
                <w:szCs w:val="22"/>
              </w:rPr>
              <w:t>Prince William Sound (83%), Cook Inlet (17%), Kodiak (36%)</w:t>
            </w:r>
          </w:p>
        </w:tc>
      </w:tr>
      <w:tr w:rsidR="00683876" w:rsidRPr="00673904" w14:paraId="131AA8A2" w14:textId="77777777" w:rsidTr="000B5B57">
        <w:tc>
          <w:tcPr>
            <w:tcW w:w="1255" w:type="dxa"/>
          </w:tcPr>
          <w:p w14:paraId="6A100BF5" w14:textId="77777777" w:rsidR="00683876" w:rsidRPr="00673904" w:rsidRDefault="00683876" w:rsidP="00A13BA5">
            <w:pPr>
              <w:spacing w:line="360" w:lineRule="auto"/>
              <w:rPr>
                <w:rFonts w:ascii="Times New Roman" w:hAnsi="Times New Roman" w:cs="Times New Roman"/>
                <w:sz w:val="22"/>
                <w:szCs w:val="22"/>
              </w:rPr>
            </w:pPr>
          </w:p>
        </w:tc>
        <w:tc>
          <w:tcPr>
            <w:tcW w:w="3965" w:type="dxa"/>
          </w:tcPr>
          <w:p w14:paraId="04A79B63" w14:textId="77777777" w:rsidR="00683876" w:rsidRPr="00673904" w:rsidRDefault="00683876" w:rsidP="00A13BA5">
            <w:pPr>
              <w:spacing w:line="360" w:lineRule="auto"/>
              <w:rPr>
                <w:rFonts w:ascii="Times New Roman" w:hAnsi="Times New Roman" w:cs="Times New Roman"/>
                <w:sz w:val="22"/>
                <w:szCs w:val="22"/>
              </w:rPr>
            </w:pPr>
          </w:p>
        </w:tc>
        <w:tc>
          <w:tcPr>
            <w:tcW w:w="3865" w:type="dxa"/>
          </w:tcPr>
          <w:p w14:paraId="2D00CF3A" w14:textId="77777777" w:rsidR="00683876" w:rsidRPr="00673904" w:rsidRDefault="00683876" w:rsidP="00A13BA5">
            <w:pPr>
              <w:spacing w:line="360" w:lineRule="auto"/>
              <w:rPr>
                <w:rFonts w:ascii="Times New Roman" w:hAnsi="Times New Roman" w:cs="Times New Roman"/>
                <w:sz w:val="22"/>
                <w:szCs w:val="22"/>
              </w:rPr>
            </w:pPr>
          </w:p>
        </w:tc>
      </w:tr>
      <w:tr w:rsidR="00683876" w:rsidRPr="00673904" w14:paraId="2AC337AB" w14:textId="77777777" w:rsidTr="000B5B57">
        <w:tc>
          <w:tcPr>
            <w:tcW w:w="1255" w:type="dxa"/>
          </w:tcPr>
          <w:p w14:paraId="00C40A0D" w14:textId="77777777" w:rsidR="00683876" w:rsidRPr="00673904" w:rsidRDefault="00683876" w:rsidP="00A13BA5">
            <w:pPr>
              <w:spacing w:line="360" w:lineRule="auto"/>
              <w:rPr>
                <w:rFonts w:ascii="Times New Roman" w:hAnsi="Times New Roman" w:cs="Times New Roman"/>
                <w:sz w:val="22"/>
                <w:szCs w:val="22"/>
              </w:rPr>
            </w:pPr>
            <w:r w:rsidRPr="00673904">
              <w:rPr>
                <w:rFonts w:ascii="Times New Roman" w:hAnsi="Times New Roman" w:cs="Times New Roman"/>
                <w:sz w:val="22"/>
                <w:szCs w:val="22"/>
              </w:rPr>
              <w:t>Sockeye</w:t>
            </w:r>
          </w:p>
        </w:tc>
        <w:tc>
          <w:tcPr>
            <w:tcW w:w="3965" w:type="dxa"/>
          </w:tcPr>
          <w:p w14:paraId="7BC234DD" w14:textId="77777777" w:rsidR="00683876" w:rsidRPr="00673904" w:rsidRDefault="00683876" w:rsidP="00A13BA5">
            <w:pPr>
              <w:spacing w:line="360" w:lineRule="auto"/>
              <w:rPr>
                <w:rFonts w:ascii="Times New Roman" w:hAnsi="Times New Roman" w:cs="Times New Roman"/>
                <w:sz w:val="22"/>
                <w:szCs w:val="22"/>
              </w:rPr>
            </w:pPr>
            <w:r w:rsidRPr="00673904">
              <w:rPr>
                <w:rFonts w:ascii="Times New Roman" w:hAnsi="Times New Roman" w:cs="Times New Roman"/>
                <w:sz w:val="22"/>
                <w:szCs w:val="22"/>
              </w:rPr>
              <w:t>Cook Inlet (8%), Kodiak (9%), Chignik (0%), South Peninsula (0%)</w:t>
            </w:r>
          </w:p>
        </w:tc>
        <w:tc>
          <w:tcPr>
            <w:tcW w:w="3865" w:type="dxa"/>
          </w:tcPr>
          <w:p w14:paraId="6472FF91" w14:textId="77777777" w:rsidR="00683876" w:rsidRPr="00673904" w:rsidRDefault="00683876" w:rsidP="00A13BA5">
            <w:pPr>
              <w:spacing w:line="360" w:lineRule="auto"/>
              <w:rPr>
                <w:rFonts w:ascii="Times New Roman" w:hAnsi="Times New Roman" w:cs="Times New Roman"/>
                <w:sz w:val="22"/>
                <w:szCs w:val="22"/>
              </w:rPr>
            </w:pPr>
            <w:r w:rsidRPr="00673904">
              <w:rPr>
                <w:rFonts w:ascii="Times New Roman" w:hAnsi="Times New Roman" w:cs="Times New Roman"/>
                <w:sz w:val="22"/>
                <w:szCs w:val="22"/>
              </w:rPr>
              <w:t>Southeast (20%), Prince William Sound (47%)</w:t>
            </w:r>
          </w:p>
        </w:tc>
      </w:tr>
      <w:tr w:rsidR="00683876" w:rsidRPr="00673904" w14:paraId="34CC6C34" w14:textId="77777777" w:rsidTr="000B5B57">
        <w:tc>
          <w:tcPr>
            <w:tcW w:w="1255" w:type="dxa"/>
          </w:tcPr>
          <w:p w14:paraId="1E3B545E" w14:textId="77777777" w:rsidR="00683876" w:rsidRPr="00673904" w:rsidRDefault="00683876" w:rsidP="00A13BA5">
            <w:pPr>
              <w:spacing w:line="360" w:lineRule="auto"/>
              <w:rPr>
                <w:rFonts w:ascii="Times New Roman" w:hAnsi="Times New Roman" w:cs="Times New Roman"/>
                <w:sz w:val="22"/>
                <w:szCs w:val="22"/>
              </w:rPr>
            </w:pPr>
          </w:p>
        </w:tc>
        <w:tc>
          <w:tcPr>
            <w:tcW w:w="3965" w:type="dxa"/>
          </w:tcPr>
          <w:p w14:paraId="65206B4B" w14:textId="77777777" w:rsidR="00683876" w:rsidRPr="00673904" w:rsidRDefault="00683876" w:rsidP="00A13BA5">
            <w:pPr>
              <w:spacing w:line="360" w:lineRule="auto"/>
              <w:rPr>
                <w:rFonts w:ascii="Times New Roman" w:hAnsi="Times New Roman" w:cs="Times New Roman"/>
                <w:sz w:val="22"/>
                <w:szCs w:val="22"/>
              </w:rPr>
            </w:pPr>
          </w:p>
        </w:tc>
        <w:tc>
          <w:tcPr>
            <w:tcW w:w="3865" w:type="dxa"/>
          </w:tcPr>
          <w:p w14:paraId="27C11196" w14:textId="77777777" w:rsidR="00683876" w:rsidRPr="00673904" w:rsidRDefault="00683876" w:rsidP="00A13BA5">
            <w:pPr>
              <w:spacing w:line="360" w:lineRule="auto"/>
              <w:rPr>
                <w:rFonts w:ascii="Times New Roman" w:hAnsi="Times New Roman" w:cs="Times New Roman"/>
                <w:sz w:val="22"/>
                <w:szCs w:val="22"/>
              </w:rPr>
            </w:pPr>
          </w:p>
        </w:tc>
      </w:tr>
      <w:tr w:rsidR="00683876" w:rsidRPr="00673904" w14:paraId="0345DA31" w14:textId="77777777" w:rsidTr="000B5B57">
        <w:tc>
          <w:tcPr>
            <w:tcW w:w="1255" w:type="dxa"/>
          </w:tcPr>
          <w:p w14:paraId="215FD006" w14:textId="77777777" w:rsidR="00683876" w:rsidRPr="00673904" w:rsidRDefault="00683876" w:rsidP="00A13BA5">
            <w:pPr>
              <w:spacing w:line="360" w:lineRule="auto"/>
              <w:rPr>
                <w:rFonts w:ascii="Times New Roman" w:hAnsi="Times New Roman" w:cs="Times New Roman"/>
                <w:sz w:val="22"/>
                <w:szCs w:val="22"/>
              </w:rPr>
            </w:pPr>
            <w:r w:rsidRPr="00673904">
              <w:rPr>
                <w:rFonts w:ascii="Times New Roman" w:hAnsi="Times New Roman" w:cs="Times New Roman"/>
                <w:sz w:val="22"/>
                <w:szCs w:val="22"/>
              </w:rPr>
              <w:t>Chum</w:t>
            </w:r>
          </w:p>
        </w:tc>
        <w:tc>
          <w:tcPr>
            <w:tcW w:w="3965" w:type="dxa"/>
          </w:tcPr>
          <w:p w14:paraId="73BC3471" w14:textId="77777777" w:rsidR="00683876" w:rsidRPr="00673904" w:rsidRDefault="00683876" w:rsidP="00A13BA5">
            <w:pPr>
              <w:spacing w:line="360" w:lineRule="auto"/>
              <w:rPr>
                <w:rFonts w:ascii="Times New Roman" w:hAnsi="Times New Roman" w:cs="Times New Roman"/>
                <w:sz w:val="22"/>
                <w:szCs w:val="22"/>
              </w:rPr>
            </w:pPr>
            <w:r w:rsidRPr="00673904">
              <w:rPr>
                <w:rFonts w:ascii="Times New Roman" w:hAnsi="Times New Roman" w:cs="Times New Roman"/>
                <w:sz w:val="22"/>
                <w:szCs w:val="22"/>
              </w:rPr>
              <w:t xml:space="preserve">Cook Inlet (0%), Chignik (0%), South Peninsula (0%)  </w:t>
            </w:r>
          </w:p>
        </w:tc>
        <w:tc>
          <w:tcPr>
            <w:tcW w:w="3865" w:type="dxa"/>
          </w:tcPr>
          <w:p w14:paraId="1634D115" w14:textId="77777777" w:rsidR="00683876" w:rsidRPr="00673904" w:rsidRDefault="00683876" w:rsidP="00A13BA5">
            <w:pPr>
              <w:spacing w:line="360" w:lineRule="auto"/>
              <w:rPr>
                <w:rFonts w:ascii="Times New Roman" w:hAnsi="Times New Roman" w:cs="Times New Roman"/>
                <w:sz w:val="22"/>
                <w:szCs w:val="22"/>
              </w:rPr>
            </w:pPr>
            <w:r w:rsidRPr="00673904">
              <w:rPr>
                <w:rFonts w:ascii="Times New Roman" w:hAnsi="Times New Roman" w:cs="Times New Roman"/>
                <w:sz w:val="22"/>
                <w:szCs w:val="22"/>
              </w:rPr>
              <w:t>Southeast (86%), Prince William Sound (100%), Kodiak (17%)</w:t>
            </w:r>
          </w:p>
        </w:tc>
      </w:tr>
      <w:tr w:rsidR="00683876" w:rsidRPr="00673904" w14:paraId="2BB3D6EE" w14:textId="77777777" w:rsidTr="000B5B57">
        <w:tc>
          <w:tcPr>
            <w:tcW w:w="1255" w:type="dxa"/>
          </w:tcPr>
          <w:p w14:paraId="29D028D3" w14:textId="77777777" w:rsidR="00683876" w:rsidRPr="00673904" w:rsidRDefault="00683876" w:rsidP="00A13BA5">
            <w:pPr>
              <w:spacing w:line="360" w:lineRule="auto"/>
              <w:rPr>
                <w:rFonts w:ascii="Times New Roman" w:hAnsi="Times New Roman" w:cs="Times New Roman"/>
                <w:sz w:val="22"/>
                <w:szCs w:val="22"/>
              </w:rPr>
            </w:pPr>
          </w:p>
        </w:tc>
        <w:tc>
          <w:tcPr>
            <w:tcW w:w="3965" w:type="dxa"/>
          </w:tcPr>
          <w:p w14:paraId="31BAE1C6" w14:textId="77777777" w:rsidR="00683876" w:rsidRPr="00673904" w:rsidRDefault="00683876" w:rsidP="00A13BA5">
            <w:pPr>
              <w:spacing w:line="360" w:lineRule="auto"/>
              <w:rPr>
                <w:rFonts w:ascii="Times New Roman" w:hAnsi="Times New Roman" w:cs="Times New Roman"/>
                <w:sz w:val="22"/>
                <w:szCs w:val="22"/>
              </w:rPr>
            </w:pPr>
          </w:p>
        </w:tc>
        <w:tc>
          <w:tcPr>
            <w:tcW w:w="3865" w:type="dxa"/>
          </w:tcPr>
          <w:p w14:paraId="69743F78" w14:textId="77777777" w:rsidR="00683876" w:rsidRPr="00673904" w:rsidRDefault="00683876" w:rsidP="00A13BA5">
            <w:pPr>
              <w:spacing w:line="360" w:lineRule="auto"/>
              <w:rPr>
                <w:rFonts w:ascii="Times New Roman" w:hAnsi="Times New Roman" w:cs="Times New Roman"/>
                <w:sz w:val="22"/>
                <w:szCs w:val="22"/>
              </w:rPr>
            </w:pPr>
          </w:p>
        </w:tc>
      </w:tr>
      <w:tr w:rsidR="00683876" w:rsidRPr="00673904" w14:paraId="5458F193" w14:textId="77777777" w:rsidTr="000B5B57">
        <w:tc>
          <w:tcPr>
            <w:tcW w:w="1255" w:type="dxa"/>
            <w:tcBorders>
              <w:bottom w:val="single" w:sz="4" w:space="0" w:color="auto"/>
            </w:tcBorders>
          </w:tcPr>
          <w:p w14:paraId="2D49375D" w14:textId="77777777" w:rsidR="00683876" w:rsidRPr="00673904" w:rsidRDefault="00683876" w:rsidP="00A13BA5">
            <w:pPr>
              <w:spacing w:line="360" w:lineRule="auto"/>
              <w:rPr>
                <w:rFonts w:ascii="Times New Roman" w:hAnsi="Times New Roman" w:cs="Times New Roman"/>
                <w:sz w:val="22"/>
                <w:szCs w:val="22"/>
              </w:rPr>
            </w:pPr>
            <w:r w:rsidRPr="00673904">
              <w:rPr>
                <w:rFonts w:ascii="Times New Roman" w:hAnsi="Times New Roman" w:cs="Times New Roman"/>
                <w:sz w:val="22"/>
                <w:szCs w:val="22"/>
              </w:rPr>
              <w:t>Coho</w:t>
            </w:r>
          </w:p>
        </w:tc>
        <w:tc>
          <w:tcPr>
            <w:tcW w:w="3965" w:type="dxa"/>
            <w:tcBorders>
              <w:bottom w:val="single" w:sz="4" w:space="0" w:color="auto"/>
            </w:tcBorders>
          </w:tcPr>
          <w:p w14:paraId="6CDDA886" w14:textId="77777777" w:rsidR="00683876" w:rsidRPr="00673904" w:rsidRDefault="00683876" w:rsidP="00A13BA5">
            <w:pPr>
              <w:spacing w:line="360" w:lineRule="auto"/>
              <w:rPr>
                <w:rFonts w:ascii="Times New Roman" w:hAnsi="Times New Roman" w:cs="Times New Roman"/>
                <w:sz w:val="22"/>
                <w:szCs w:val="22"/>
              </w:rPr>
            </w:pPr>
            <w:r w:rsidRPr="00673904">
              <w:rPr>
                <w:rFonts w:ascii="Times New Roman" w:hAnsi="Times New Roman" w:cs="Times New Roman"/>
                <w:sz w:val="22"/>
                <w:szCs w:val="22"/>
              </w:rPr>
              <w:t>Prince William Sound (2%), Cook Inlet (0%), Kodiak (6%), Chignik (0%), South Alaska Peninsula (0%)</w:t>
            </w:r>
          </w:p>
        </w:tc>
        <w:tc>
          <w:tcPr>
            <w:tcW w:w="3865" w:type="dxa"/>
            <w:tcBorders>
              <w:bottom w:val="single" w:sz="4" w:space="0" w:color="auto"/>
            </w:tcBorders>
          </w:tcPr>
          <w:p w14:paraId="0E97104C" w14:textId="77777777" w:rsidR="00683876" w:rsidRPr="00673904" w:rsidRDefault="00683876" w:rsidP="00A13BA5">
            <w:pPr>
              <w:spacing w:line="360" w:lineRule="auto"/>
              <w:rPr>
                <w:rFonts w:ascii="Times New Roman" w:hAnsi="Times New Roman" w:cs="Times New Roman"/>
                <w:sz w:val="22"/>
                <w:szCs w:val="22"/>
              </w:rPr>
            </w:pPr>
            <w:r w:rsidRPr="00673904">
              <w:rPr>
                <w:rFonts w:ascii="Times New Roman" w:hAnsi="Times New Roman" w:cs="Times New Roman"/>
                <w:sz w:val="22"/>
                <w:szCs w:val="22"/>
              </w:rPr>
              <w:t>Southeast (23%)</w:t>
            </w:r>
          </w:p>
        </w:tc>
      </w:tr>
    </w:tbl>
    <w:p w14:paraId="7338768E" w14:textId="77777777" w:rsidR="00683876" w:rsidRPr="00673904" w:rsidRDefault="00683876" w:rsidP="00A13BA5">
      <w:pPr>
        <w:spacing w:line="360" w:lineRule="auto"/>
        <w:rPr>
          <w:rFonts w:ascii="Times New Roman" w:hAnsi="Times New Roman" w:cs="Times New Roman"/>
          <w:sz w:val="22"/>
          <w:szCs w:val="22"/>
        </w:rPr>
      </w:pPr>
    </w:p>
    <w:p w14:paraId="582923D7" w14:textId="77777777" w:rsidR="00683876" w:rsidRDefault="00683876" w:rsidP="00A13BA5">
      <w:pPr>
        <w:spacing w:line="360" w:lineRule="auto"/>
        <w:rPr>
          <w:rFonts w:ascii="Times New Roman" w:hAnsi="Times New Roman" w:cs="Times New Roman"/>
          <w:sz w:val="22"/>
          <w:szCs w:val="22"/>
        </w:rPr>
      </w:pPr>
      <w:r w:rsidRPr="00673904">
        <w:rPr>
          <w:rFonts w:ascii="Times New Roman" w:hAnsi="Times New Roman" w:cs="Times New Roman"/>
          <w:sz w:val="22"/>
          <w:szCs w:val="22"/>
        </w:rPr>
        <w:br w:type="page"/>
      </w:r>
    </w:p>
    <w:p w14:paraId="3D50CB7E" w14:textId="2CDAEB94" w:rsidR="00D50D82" w:rsidRPr="00673904" w:rsidRDefault="00D50D82" w:rsidP="00032692">
      <w:pPr>
        <w:rPr>
          <w:rFonts w:ascii="Times New Roman" w:hAnsi="Times New Roman" w:cs="Times New Roman"/>
        </w:rPr>
      </w:pPr>
      <w:r w:rsidRPr="00673904">
        <w:rPr>
          <w:rFonts w:ascii="Times New Roman" w:hAnsi="Times New Roman" w:cs="Times New Roman"/>
          <w:b/>
        </w:rPr>
        <w:lastRenderedPageBreak/>
        <w:t>Table S</w:t>
      </w:r>
      <w:r>
        <w:rPr>
          <w:rFonts w:ascii="Times New Roman" w:hAnsi="Times New Roman" w:cs="Times New Roman"/>
          <w:b/>
        </w:rPr>
        <w:t>4</w:t>
      </w:r>
      <w:r w:rsidRPr="00673904">
        <w:rPr>
          <w:rFonts w:ascii="Times New Roman" w:hAnsi="Times New Roman" w:cs="Times New Roman"/>
          <w:b/>
        </w:rPr>
        <w:t xml:space="preserve">. </w:t>
      </w:r>
      <w:r>
        <w:rPr>
          <w:rFonts w:ascii="Times New Roman" w:hAnsi="Times New Roman" w:cs="Times New Roman"/>
        </w:rPr>
        <w:t>Pearson’s correlations</w:t>
      </w:r>
      <w:r w:rsidR="00667863">
        <w:rPr>
          <w:rFonts w:ascii="Times New Roman" w:hAnsi="Times New Roman" w:cs="Times New Roman"/>
        </w:rPr>
        <w:t xml:space="preserve"> (absolute values)</w:t>
      </w:r>
      <w:r>
        <w:rPr>
          <w:rFonts w:ascii="Times New Roman" w:hAnsi="Times New Roman" w:cs="Times New Roman"/>
        </w:rPr>
        <w:t xml:space="preserve"> between the standard PDO and NPGO indices and PC1-2 of North Pacific SST</w:t>
      </w:r>
      <w:r w:rsidR="00822983">
        <w:rPr>
          <w:rFonts w:ascii="Times New Roman" w:hAnsi="Times New Roman" w:cs="Times New Roman"/>
        </w:rPr>
        <w:t>a</w:t>
      </w:r>
      <w:r>
        <w:rPr>
          <w:rFonts w:ascii="Times New Roman" w:hAnsi="Times New Roman" w:cs="Times New Roman"/>
        </w:rPr>
        <w:t>, before and after 1988/89. P-values account for temporal autocorrelation.</w:t>
      </w:r>
      <w:r w:rsidR="00295384">
        <w:rPr>
          <w:rFonts w:ascii="Times New Roman" w:hAnsi="Times New Roman" w:cs="Times New Roman"/>
        </w:rPr>
        <w:t xml:space="preserve"> </w:t>
      </w:r>
      <w:r w:rsidR="00BB2BED">
        <w:rPr>
          <w:rFonts w:ascii="Times New Roman" w:hAnsi="Times New Roman" w:cs="Times New Roman"/>
        </w:rPr>
        <w:t>Analysis</w:t>
      </w:r>
      <w:r w:rsidR="00295384">
        <w:rPr>
          <w:rFonts w:ascii="Times New Roman" w:hAnsi="Times New Roman" w:cs="Times New Roman"/>
        </w:rPr>
        <w:t xml:space="preserve"> includes data for </w:t>
      </w:r>
      <w:r w:rsidR="00364F2A">
        <w:rPr>
          <w:rFonts w:ascii="Times New Roman" w:hAnsi="Times New Roman" w:cs="Times New Roman"/>
        </w:rPr>
        <w:t>all months</w:t>
      </w:r>
      <w:r w:rsidR="00295384">
        <w:rPr>
          <w:rFonts w:ascii="Times New Roman" w:hAnsi="Times New Roman" w:cs="Times New Roman"/>
        </w:rPr>
        <w:t>.</w:t>
      </w:r>
    </w:p>
    <w:p w14:paraId="5F9B7930" w14:textId="77777777" w:rsidR="00D50D82" w:rsidRPr="00673904" w:rsidRDefault="00D50D82" w:rsidP="00A13BA5">
      <w:pPr>
        <w:spacing w:line="360" w:lineRule="auto"/>
        <w:rPr>
          <w:rFonts w:ascii="Times New Roman" w:hAnsi="Times New Roman" w:cs="Times New Roman"/>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64"/>
        <w:gridCol w:w="1647"/>
        <w:gridCol w:w="1596"/>
        <w:gridCol w:w="1436"/>
        <w:gridCol w:w="1596"/>
        <w:gridCol w:w="1511"/>
      </w:tblGrid>
      <w:tr w:rsidR="00D94C71" w:rsidRPr="00A059E9" w14:paraId="6276CD21" w14:textId="77777777" w:rsidTr="00DB547F">
        <w:tc>
          <w:tcPr>
            <w:tcW w:w="1564" w:type="dxa"/>
          </w:tcPr>
          <w:p w14:paraId="6A850D29" w14:textId="77777777" w:rsidR="00D94C71" w:rsidRPr="00A059E9" w:rsidRDefault="00D94C71" w:rsidP="00A13BA5">
            <w:pPr>
              <w:spacing w:line="360" w:lineRule="auto"/>
              <w:rPr>
                <w:rFonts w:ascii="Times New Roman" w:hAnsi="Times New Roman" w:cs="Times New Roman"/>
                <w:b/>
              </w:rPr>
            </w:pPr>
          </w:p>
        </w:tc>
        <w:tc>
          <w:tcPr>
            <w:tcW w:w="1647" w:type="dxa"/>
          </w:tcPr>
          <w:p w14:paraId="0D56DF39" w14:textId="77777777" w:rsidR="00D94C71" w:rsidRPr="00A059E9" w:rsidRDefault="00D94C71" w:rsidP="00A13BA5">
            <w:pPr>
              <w:spacing w:line="360" w:lineRule="auto"/>
              <w:rPr>
                <w:rFonts w:ascii="Times New Roman" w:hAnsi="Times New Roman" w:cs="Times New Roman"/>
                <w:b/>
              </w:rPr>
            </w:pPr>
          </w:p>
        </w:tc>
        <w:tc>
          <w:tcPr>
            <w:tcW w:w="3032" w:type="dxa"/>
            <w:gridSpan w:val="2"/>
          </w:tcPr>
          <w:p w14:paraId="58BE54D0" w14:textId="77777777" w:rsidR="00D94C71" w:rsidRPr="00A059E9" w:rsidRDefault="00DB547F" w:rsidP="00A13BA5">
            <w:pPr>
              <w:spacing w:line="360" w:lineRule="auto"/>
              <w:rPr>
                <w:rFonts w:ascii="Times New Roman" w:hAnsi="Times New Roman" w:cs="Times New Roman"/>
                <w:b/>
              </w:rPr>
            </w:pPr>
            <w:r w:rsidRPr="00A059E9">
              <w:rPr>
                <w:rFonts w:ascii="Times New Roman" w:hAnsi="Times New Roman" w:cs="Times New Roman"/>
                <w:b/>
              </w:rPr>
              <w:t xml:space="preserve">        </w:t>
            </w:r>
            <w:r w:rsidR="00D94C71" w:rsidRPr="00A059E9">
              <w:rPr>
                <w:rFonts w:ascii="Times New Roman" w:hAnsi="Times New Roman" w:cs="Times New Roman"/>
                <w:b/>
              </w:rPr>
              <w:t>SST PC1</w:t>
            </w:r>
          </w:p>
        </w:tc>
        <w:tc>
          <w:tcPr>
            <w:tcW w:w="3107" w:type="dxa"/>
            <w:gridSpan w:val="2"/>
          </w:tcPr>
          <w:p w14:paraId="18C897DE" w14:textId="77777777" w:rsidR="00D94C71" w:rsidRPr="00A059E9" w:rsidRDefault="00DB547F" w:rsidP="00A13BA5">
            <w:pPr>
              <w:spacing w:line="360" w:lineRule="auto"/>
              <w:rPr>
                <w:rFonts w:ascii="Times New Roman" w:hAnsi="Times New Roman" w:cs="Times New Roman"/>
                <w:b/>
              </w:rPr>
            </w:pPr>
            <w:r w:rsidRPr="00A059E9">
              <w:rPr>
                <w:rFonts w:ascii="Times New Roman" w:hAnsi="Times New Roman" w:cs="Times New Roman"/>
                <w:b/>
              </w:rPr>
              <w:t xml:space="preserve">        </w:t>
            </w:r>
            <w:r w:rsidR="00D94C71" w:rsidRPr="00A059E9">
              <w:rPr>
                <w:rFonts w:ascii="Times New Roman" w:hAnsi="Times New Roman" w:cs="Times New Roman"/>
                <w:b/>
              </w:rPr>
              <w:t>SST PC2</w:t>
            </w:r>
          </w:p>
        </w:tc>
      </w:tr>
      <w:tr w:rsidR="00D94C71" w:rsidRPr="00A059E9" w14:paraId="4874836F" w14:textId="77777777" w:rsidTr="00DB547F">
        <w:tc>
          <w:tcPr>
            <w:tcW w:w="1564" w:type="dxa"/>
            <w:tcBorders>
              <w:bottom w:val="single" w:sz="4" w:space="0" w:color="auto"/>
            </w:tcBorders>
          </w:tcPr>
          <w:p w14:paraId="02A84EA6" w14:textId="77777777" w:rsidR="00D94C71" w:rsidRPr="00A059E9" w:rsidRDefault="00D94C71" w:rsidP="00A13BA5">
            <w:pPr>
              <w:spacing w:line="360" w:lineRule="auto"/>
              <w:rPr>
                <w:rFonts w:ascii="Times New Roman" w:hAnsi="Times New Roman" w:cs="Times New Roman"/>
                <w:b/>
              </w:rPr>
            </w:pPr>
            <w:r w:rsidRPr="00A059E9">
              <w:rPr>
                <w:rFonts w:ascii="Times New Roman" w:hAnsi="Times New Roman" w:cs="Times New Roman"/>
                <w:b/>
              </w:rPr>
              <w:t>Era</w:t>
            </w:r>
          </w:p>
        </w:tc>
        <w:tc>
          <w:tcPr>
            <w:tcW w:w="1647" w:type="dxa"/>
            <w:tcBorders>
              <w:bottom w:val="single" w:sz="4" w:space="0" w:color="auto"/>
            </w:tcBorders>
          </w:tcPr>
          <w:p w14:paraId="0DDDD9C0" w14:textId="77777777" w:rsidR="00D94C71" w:rsidRPr="00A059E9" w:rsidRDefault="00D94C71" w:rsidP="00A13BA5">
            <w:pPr>
              <w:spacing w:line="360" w:lineRule="auto"/>
              <w:rPr>
                <w:rFonts w:ascii="Times New Roman" w:hAnsi="Times New Roman" w:cs="Times New Roman"/>
                <w:b/>
              </w:rPr>
            </w:pPr>
            <w:r w:rsidRPr="00A059E9">
              <w:rPr>
                <w:rFonts w:ascii="Times New Roman" w:hAnsi="Times New Roman" w:cs="Times New Roman"/>
                <w:b/>
              </w:rPr>
              <w:t>Index</w:t>
            </w:r>
          </w:p>
        </w:tc>
        <w:tc>
          <w:tcPr>
            <w:tcW w:w="1596" w:type="dxa"/>
            <w:tcBorders>
              <w:bottom w:val="single" w:sz="4" w:space="0" w:color="auto"/>
            </w:tcBorders>
          </w:tcPr>
          <w:p w14:paraId="12F74B02" w14:textId="77777777" w:rsidR="00D94C71" w:rsidRPr="00A059E9" w:rsidRDefault="00A059E9" w:rsidP="00A13BA5">
            <w:pPr>
              <w:spacing w:line="360" w:lineRule="auto"/>
              <w:rPr>
                <w:rFonts w:ascii="Times New Roman" w:hAnsi="Times New Roman" w:cs="Times New Roman"/>
                <w:b/>
              </w:rPr>
            </w:pPr>
            <w:r>
              <w:rPr>
                <w:rFonts w:ascii="Times New Roman" w:hAnsi="Times New Roman" w:cs="Times New Roman"/>
                <w:b/>
              </w:rPr>
              <w:t>|</w:t>
            </w:r>
            <w:r w:rsidR="00D94C71" w:rsidRPr="00A059E9">
              <w:rPr>
                <w:rFonts w:ascii="Times New Roman" w:hAnsi="Times New Roman" w:cs="Times New Roman"/>
                <w:b/>
              </w:rPr>
              <w:t>r</w:t>
            </w:r>
            <w:r>
              <w:rPr>
                <w:rFonts w:ascii="Times New Roman" w:hAnsi="Times New Roman" w:cs="Times New Roman"/>
                <w:b/>
              </w:rPr>
              <w:t>|</w:t>
            </w:r>
          </w:p>
        </w:tc>
        <w:tc>
          <w:tcPr>
            <w:tcW w:w="1436" w:type="dxa"/>
            <w:tcBorders>
              <w:bottom w:val="single" w:sz="4" w:space="0" w:color="auto"/>
            </w:tcBorders>
          </w:tcPr>
          <w:p w14:paraId="3405554F" w14:textId="77777777" w:rsidR="00D94C71" w:rsidRPr="00A059E9" w:rsidRDefault="00D94C71" w:rsidP="00A13BA5">
            <w:pPr>
              <w:spacing w:line="360" w:lineRule="auto"/>
              <w:rPr>
                <w:rFonts w:ascii="Times New Roman" w:hAnsi="Times New Roman" w:cs="Times New Roman"/>
                <w:b/>
              </w:rPr>
            </w:pPr>
            <w:r w:rsidRPr="00A059E9">
              <w:rPr>
                <w:rFonts w:ascii="Times New Roman" w:hAnsi="Times New Roman" w:cs="Times New Roman"/>
                <w:b/>
              </w:rPr>
              <w:t>P</w:t>
            </w:r>
          </w:p>
        </w:tc>
        <w:tc>
          <w:tcPr>
            <w:tcW w:w="1596" w:type="dxa"/>
            <w:tcBorders>
              <w:bottom w:val="single" w:sz="4" w:space="0" w:color="auto"/>
            </w:tcBorders>
          </w:tcPr>
          <w:p w14:paraId="4BA67969" w14:textId="77777777" w:rsidR="00D94C71" w:rsidRPr="00A059E9" w:rsidRDefault="00A059E9" w:rsidP="00A13BA5">
            <w:pPr>
              <w:spacing w:line="360" w:lineRule="auto"/>
              <w:rPr>
                <w:rFonts w:ascii="Times New Roman" w:hAnsi="Times New Roman" w:cs="Times New Roman"/>
                <w:b/>
              </w:rPr>
            </w:pPr>
            <w:r>
              <w:rPr>
                <w:rFonts w:ascii="Times New Roman" w:hAnsi="Times New Roman" w:cs="Times New Roman"/>
                <w:b/>
              </w:rPr>
              <w:t>|</w:t>
            </w:r>
            <w:r w:rsidR="00D94C71" w:rsidRPr="00A059E9">
              <w:rPr>
                <w:rFonts w:ascii="Times New Roman" w:hAnsi="Times New Roman" w:cs="Times New Roman"/>
                <w:b/>
              </w:rPr>
              <w:t>r</w:t>
            </w:r>
            <w:r>
              <w:rPr>
                <w:rFonts w:ascii="Times New Roman" w:hAnsi="Times New Roman" w:cs="Times New Roman"/>
                <w:b/>
              </w:rPr>
              <w:t>|</w:t>
            </w:r>
          </w:p>
        </w:tc>
        <w:tc>
          <w:tcPr>
            <w:tcW w:w="1511" w:type="dxa"/>
            <w:tcBorders>
              <w:bottom w:val="single" w:sz="4" w:space="0" w:color="auto"/>
            </w:tcBorders>
          </w:tcPr>
          <w:p w14:paraId="4C8C9672" w14:textId="77777777" w:rsidR="00D94C71" w:rsidRPr="00A059E9" w:rsidRDefault="00D94C71" w:rsidP="00A13BA5">
            <w:pPr>
              <w:spacing w:line="360" w:lineRule="auto"/>
              <w:rPr>
                <w:rFonts w:ascii="Times New Roman" w:hAnsi="Times New Roman" w:cs="Times New Roman"/>
                <w:b/>
              </w:rPr>
            </w:pPr>
            <w:r w:rsidRPr="00A059E9">
              <w:rPr>
                <w:rFonts w:ascii="Times New Roman" w:hAnsi="Times New Roman" w:cs="Times New Roman"/>
                <w:b/>
              </w:rPr>
              <w:t>P</w:t>
            </w:r>
          </w:p>
        </w:tc>
      </w:tr>
      <w:tr w:rsidR="00D94C71" w:rsidRPr="00A059E9" w14:paraId="0CD4240E" w14:textId="77777777" w:rsidTr="00DB547F">
        <w:tc>
          <w:tcPr>
            <w:tcW w:w="1564" w:type="dxa"/>
            <w:tcBorders>
              <w:top w:val="single" w:sz="4" w:space="0" w:color="auto"/>
            </w:tcBorders>
          </w:tcPr>
          <w:p w14:paraId="38E30201" w14:textId="77777777" w:rsidR="00D94C71" w:rsidRPr="00A059E9" w:rsidRDefault="00D94C71" w:rsidP="00A13BA5">
            <w:pPr>
              <w:spacing w:line="360" w:lineRule="auto"/>
              <w:rPr>
                <w:rFonts w:ascii="Times New Roman" w:hAnsi="Times New Roman" w:cs="Times New Roman"/>
              </w:rPr>
            </w:pPr>
            <w:r w:rsidRPr="00A059E9">
              <w:rPr>
                <w:rFonts w:ascii="Times New Roman" w:hAnsi="Times New Roman" w:cs="Times New Roman"/>
              </w:rPr>
              <w:t>1950-1988</w:t>
            </w:r>
          </w:p>
        </w:tc>
        <w:tc>
          <w:tcPr>
            <w:tcW w:w="1647" w:type="dxa"/>
            <w:tcBorders>
              <w:top w:val="single" w:sz="4" w:space="0" w:color="auto"/>
            </w:tcBorders>
          </w:tcPr>
          <w:p w14:paraId="77D0C18B" w14:textId="77777777" w:rsidR="00D94C71" w:rsidRPr="00A059E9" w:rsidRDefault="00D94C71" w:rsidP="00A13BA5">
            <w:pPr>
              <w:spacing w:line="360" w:lineRule="auto"/>
              <w:rPr>
                <w:rFonts w:ascii="Times New Roman" w:hAnsi="Times New Roman" w:cs="Times New Roman"/>
              </w:rPr>
            </w:pPr>
            <w:r w:rsidRPr="00A059E9">
              <w:rPr>
                <w:rFonts w:ascii="Times New Roman" w:hAnsi="Times New Roman" w:cs="Times New Roman"/>
              </w:rPr>
              <w:t>PDO</w:t>
            </w:r>
          </w:p>
        </w:tc>
        <w:tc>
          <w:tcPr>
            <w:tcW w:w="1596" w:type="dxa"/>
            <w:tcBorders>
              <w:top w:val="single" w:sz="4" w:space="0" w:color="auto"/>
            </w:tcBorders>
          </w:tcPr>
          <w:p w14:paraId="1E9DE1E4" w14:textId="77777777" w:rsidR="00D94C71" w:rsidRPr="00A059E9" w:rsidRDefault="00A059E9" w:rsidP="00A13BA5">
            <w:pPr>
              <w:spacing w:line="360" w:lineRule="auto"/>
              <w:rPr>
                <w:rFonts w:ascii="Times New Roman" w:hAnsi="Times New Roman" w:cs="Times New Roman"/>
              </w:rPr>
            </w:pPr>
            <w:r w:rsidRPr="00A059E9">
              <w:rPr>
                <w:rFonts w:ascii="Times New Roman" w:hAnsi="Times New Roman" w:cs="Times New Roman"/>
              </w:rPr>
              <w:t>0.91</w:t>
            </w:r>
          </w:p>
        </w:tc>
        <w:tc>
          <w:tcPr>
            <w:tcW w:w="1436" w:type="dxa"/>
            <w:tcBorders>
              <w:top w:val="single" w:sz="4" w:space="0" w:color="auto"/>
            </w:tcBorders>
          </w:tcPr>
          <w:p w14:paraId="29EFACFD" w14:textId="77777777" w:rsidR="00D94C71" w:rsidRPr="00A059E9" w:rsidRDefault="00A059E9" w:rsidP="00A13BA5">
            <w:pPr>
              <w:spacing w:line="360" w:lineRule="auto"/>
              <w:rPr>
                <w:rFonts w:ascii="Times New Roman" w:hAnsi="Times New Roman" w:cs="Times New Roman"/>
              </w:rPr>
            </w:pPr>
            <w:r w:rsidRPr="00A059E9">
              <w:rPr>
                <w:rFonts w:ascii="Times New Roman" w:hAnsi="Times New Roman" w:cs="Times New Roman"/>
              </w:rPr>
              <w:t>3.35 x 10</w:t>
            </w:r>
            <w:r w:rsidRPr="00A059E9">
              <w:rPr>
                <w:rFonts w:ascii="Times New Roman" w:hAnsi="Times New Roman" w:cs="Times New Roman"/>
                <w:vertAlign w:val="superscript"/>
              </w:rPr>
              <w:t>-47</w:t>
            </w:r>
          </w:p>
        </w:tc>
        <w:tc>
          <w:tcPr>
            <w:tcW w:w="1596" w:type="dxa"/>
            <w:tcBorders>
              <w:top w:val="single" w:sz="4" w:space="0" w:color="auto"/>
            </w:tcBorders>
          </w:tcPr>
          <w:p w14:paraId="6ACC327C" w14:textId="77777777" w:rsidR="00D94C71" w:rsidRPr="00A059E9" w:rsidRDefault="00667863" w:rsidP="00A13BA5">
            <w:pPr>
              <w:spacing w:line="360" w:lineRule="auto"/>
              <w:rPr>
                <w:rFonts w:ascii="Times New Roman" w:hAnsi="Times New Roman" w:cs="Times New Roman"/>
              </w:rPr>
            </w:pPr>
            <w:r>
              <w:rPr>
                <w:rFonts w:ascii="Times New Roman" w:hAnsi="Times New Roman" w:cs="Times New Roman"/>
              </w:rPr>
              <w:t>0.09</w:t>
            </w:r>
          </w:p>
        </w:tc>
        <w:tc>
          <w:tcPr>
            <w:tcW w:w="1511" w:type="dxa"/>
            <w:tcBorders>
              <w:top w:val="single" w:sz="4" w:space="0" w:color="auto"/>
            </w:tcBorders>
          </w:tcPr>
          <w:p w14:paraId="36B9B150" w14:textId="77777777" w:rsidR="00D94C71" w:rsidRPr="00A059E9" w:rsidRDefault="00667863" w:rsidP="00A13BA5">
            <w:pPr>
              <w:spacing w:line="360" w:lineRule="auto"/>
              <w:rPr>
                <w:rFonts w:ascii="Times New Roman" w:hAnsi="Times New Roman" w:cs="Times New Roman"/>
              </w:rPr>
            </w:pPr>
            <w:r>
              <w:rPr>
                <w:rFonts w:ascii="Times New Roman" w:hAnsi="Times New Roman" w:cs="Times New Roman"/>
              </w:rPr>
              <w:t>0.31</w:t>
            </w:r>
          </w:p>
        </w:tc>
      </w:tr>
      <w:tr w:rsidR="00D94C71" w:rsidRPr="00A059E9" w14:paraId="670AC233" w14:textId="77777777" w:rsidTr="00DB547F">
        <w:tc>
          <w:tcPr>
            <w:tcW w:w="1564" w:type="dxa"/>
          </w:tcPr>
          <w:p w14:paraId="4177E655" w14:textId="77777777" w:rsidR="00D94C71" w:rsidRPr="00A059E9" w:rsidRDefault="00D94C71" w:rsidP="00A13BA5">
            <w:pPr>
              <w:spacing w:line="360" w:lineRule="auto"/>
              <w:rPr>
                <w:rFonts w:ascii="Times New Roman" w:hAnsi="Times New Roman" w:cs="Times New Roman"/>
              </w:rPr>
            </w:pPr>
          </w:p>
        </w:tc>
        <w:tc>
          <w:tcPr>
            <w:tcW w:w="1647" w:type="dxa"/>
          </w:tcPr>
          <w:p w14:paraId="2FCC1C07" w14:textId="77777777" w:rsidR="00D94C71" w:rsidRPr="00A059E9" w:rsidRDefault="00D94C71" w:rsidP="00A13BA5">
            <w:pPr>
              <w:spacing w:line="360" w:lineRule="auto"/>
              <w:rPr>
                <w:rFonts w:ascii="Times New Roman" w:hAnsi="Times New Roman" w:cs="Times New Roman"/>
              </w:rPr>
            </w:pPr>
            <w:r w:rsidRPr="00A059E9">
              <w:rPr>
                <w:rFonts w:ascii="Times New Roman" w:hAnsi="Times New Roman" w:cs="Times New Roman"/>
              </w:rPr>
              <w:t>NPGO</w:t>
            </w:r>
          </w:p>
        </w:tc>
        <w:tc>
          <w:tcPr>
            <w:tcW w:w="1596" w:type="dxa"/>
          </w:tcPr>
          <w:p w14:paraId="445C0784" w14:textId="77777777" w:rsidR="00D94C71" w:rsidRPr="00A059E9" w:rsidRDefault="00A059E9" w:rsidP="00A13BA5">
            <w:pPr>
              <w:spacing w:line="360" w:lineRule="auto"/>
              <w:rPr>
                <w:rFonts w:ascii="Times New Roman" w:hAnsi="Times New Roman" w:cs="Times New Roman"/>
              </w:rPr>
            </w:pPr>
            <w:r w:rsidRPr="00A059E9">
              <w:rPr>
                <w:rFonts w:ascii="Times New Roman" w:hAnsi="Times New Roman" w:cs="Times New Roman"/>
              </w:rPr>
              <w:t>0.09</w:t>
            </w:r>
          </w:p>
        </w:tc>
        <w:tc>
          <w:tcPr>
            <w:tcW w:w="1436" w:type="dxa"/>
          </w:tcPr>
          <w:p w14:paraId="19993E07" w14:textId="77777777" w:rsidR="00D94C71" w:rsidRPr="00A059E9" w:rsidRDefault="00A059E9" w:rsidP="00A13BA5">
            <w:pPr>
              <w:spacing w:line="360" w:lineRule="auto"/>
              <w:rPr>
                <w:rFonts w:ascii="Times New Roman" w:hAnsi="Times New Roman" w:cs="Times New Roman"/>
              </w:rPr>
            </w:pPr>
            <w:r>
              <w:rPr>
                <w:rFonts w:ascii="Times New Roman" w:hAnsi="Times New Roman" w:cs="Times New Roman"/>
              </w:rPr>
              <w:t>0.40</w:t>
            </w:r>
          </w:p>
        </w:tc>
        <w:tc>
          <w:tcPr>
            <w:tcW w:w="1596" w:type="dxa"/>
          </w:tcPr>
          <w:p w14:paraId="26ED5BAD" w14:textId="77777777" w:rsidR="00D94C71" w:rsidRPr="00A059E9" w:rsidRDefault="00667863" w:rsidP="00A13BA5">
            <w:pPr>
              <w:spacing w:line="360" w:lineRule="auto"/>
              <w:rPr>
                <w:rFonts w:ascii="Times New Roman" w:hAnsi="Times New Roman" w:cs="Times New Roman"/>
              </w:rPr>
            </w:pPr>
            <w:r>
              <w:rPr>
                <w:rFonts w:ascii="Times New Roman" w:hAnsi="Times New Roman" w:cs="Times New Roman"/>
              </w:rPr>
              <w:t>0.48</w:t>
            </w:r>
          </w:p>
        </w:tc>
        <w:tc>
          <w:tcPr>
            <w:tcW w:w="1511" w:type="dxa"/>
          </w:tcPr>
          <w:p w14:paraId="7AE2BA1C" w14:textId="77777777" w:rsidR="00D94C71" w:rsidRPr="00A059E9" w:rsidRDefault="00667863" w:rsidP="00A13BA5">
            <w:pPr>
              <w:spacing w:line="360" w:lineRule="auto"/>
              <w:rPr>
                <w:rFonts w:ascii="Times New Roman" w:hAnsi="Times New Roman" w:cs="Times New Roman"/>
              </w:rPr>
            </w:pPr>
            <w:r>
              <w:rPr>
                <w:rFonts w:ascii="Times New Roman" w:hAnsi="Times New Roman" w:cs="Times New Roman"/>
              </w:rPr>
              <w:t>4.18 x 10</w:t>
            </w:r>
            <w:r w:rsidRPr="00B02AFF">
              <w:rPr>
                <w:rFonts w:ascii="Times New Roman" w:hAnsi="Times New Roman" w:cs="Times New Roman"/>
                <w:vertAlign w:val="superscript"/>
              </w:rPr>
              <w:t>-8</w:t>
            </w:r>
          </w:p>
        </w:tc>
      </w:tr>
      <w:tr w:rsidR="00D94C71" w:rsidRPr="00A059E9" w14:paraId="25CED2D2" w14:textId="77777777" w:rsidTr="00DB547F">
        <w:tc>
          <w:tcPr>
            <w:tcW w:w="1564" w:type="dxa"/>
          </w:tcPr>
          <w:p w14:paraId="22C90C73" w14:textId="77777777" w:rsidR="00D94C71" w:rsidRPr="00A059E9" w:rsidRDefault="00D94C71" w:rsidP="00A13BA5">
            <w:pPr>
              <w:spacing w:line="360" w:lineRule="auto"/>
              <w:rPr>
                <w:rFonts w:ascii="Times New Roman" w:hAnsi="Times New Roman" w:cs="Times New Roman"/>
              </w:rPr>
            </w:pPr>
          </w:p>
        </w:tc>
        <w:tc>
          <w:tcPr>
            <w:tcW w:w="1647" w:type="dxa"/>
          </w:tcPr>
          <w:p w14:paraId="15EF5D2A" w14:textId="77777777" w:rsidR="00D94C71" w:rsidRPr="00A059E9" w:rsidRDefault="00D94C71" w:rsidP="00A13BA5">
            <w:pPr>
              <w:spacing w:line="360" w:lineRule="auto"/>
              <w:rPr>
                <w:rFonts w:ascii="Times New Roman" w:hAnsi="Times New Roman" w:cs="Times New Roman"/>
              </w:rPr>
            </w:pPr>
          </w:p>
        </w:tc>
        <w:tc>
          <w:tcPr>
            <w:tcW w:w="1596" w:type="dxa"/>
          </w:tcPr>
          <w:p w14:paraId="1AD5CF61" w14:textId="77777777" w:rsidR="00D94C71" w:rsidRPr="00A059E9" w:rsidRDefault="00D94C71" w:rsidP="00A13BA5">
            <w:pPr>
              <w:spacing w:line="360" w:lineRule="auto"/>
              <w:rPr>
                <w:rFonts w:ascii="Times New Roman" w:hAnsi="Times New Roman" w:cs="Times New Roman"/>
              </w:rPr>
            </w:pPr>
          </w:p>
        </w:tc>
        <w:tc>
          <w:tcPr>
            <w:tcW w:w="1436" w:type="dxa"/>
          </w:tcPr>
          <w:p w14:paraId="17817BC8" w14:textId="77777777" w:rsidR="00D94C71" w:rsidRPr="00A059E9" w:rsidRDefault="00D94C71" w:rsidP="00A13BA5">
            <w:pPr>
              <w:spacing w:line="360" w:lineRule="auto"/>
              <w:rPr>
                <w:rFonts w:ascii="Times New Roman" w:hAnsi="Times New Roman" w:cs="Times New Roman"/>
              </w:rPr>
            </w:pPr>
          </w:p>
        </w:tc>
        <w:tc>
          <w:tcPr>
            <w:tcW w:w="1596" w:type="dxa"/>
          </w:tcPr>
          <w:p w14:paraId="5D765C54" w14:textId="77777777" w:rsidR="00D94C71" w:rsidRPr="00A059E9" w:rsidRDefault="00D94C71" w:rsidP="00A13BA5">
            <w:pPr>
              <w:spacing w:line="360" w:lineRule="auto"/>
              <w:rPr>
                <w:rFonts w:ascii="Times New Roman" w:hAnsi="Times New Roman" w:cs="Times New Roman"/>
              </w:rPr>
            </w:pPr>
          </w:p>
        </w:tc>
        <w:tc>
          <w:tcPr>
            <w:tcW w:w="1511" w:type="dxa"/>
          </w:tcPr>
          <w:p w14:paraId="20C0F6F5" w14:textId="77777777" w:rsidR="00D94C71" w:rsidRPr="00A059E9" w:rsidRDefault="00D94C71" w:rsidP="00A13BA5">
            <w:pPr>
              <w:spacing w:line="360" w:lineRule="auto"/>
              <w:rPr>
                <w:rFonts w:ascii="Times New Roman" w:hAnsi="Times New Roman" w:cs="Times New Roman"/>
              </w:rPr>
            </w:pPr>
          </w:p>
        </w:tc>
      </w:tr>
      <w:tr w:rsidR="00D94C71" w:rsidRPr="00A059E9" w14:paraId="2AB7CBE3" w14:textId="77777777" w:rsidTr="00DB547F">
        <w:tc>
          <w:tcPr>
            <w:tcW w:w="1564" w:type="dxa"/>
          </w:tcPr>
          <w:p w14:paraId="0A7A9683" w14:textId="77777777" w:rsidR="00D94C71" w:rsidRPr="00A059E9" w:rsidRDefault="00D94C71" w:rsidP="00A13BA5">
            <w:pPr>
              <w:spacing w:line="360" w:lineRule="auto"/>
              <w:rPr>
                <w:rFonts w:ascii="Times New Roman" w:hAnsi="Times New Roman" w:cs="Times New Roman"/>
              </w:rPr>
            </w:pPr>
            <w:r w:rsidRPr="00A059E9">
              <w:rPr>
                <w:rFonts w:ascii="Times New Roman" w:hAnsi="Times New Roman" w:cs="Times New Roman"/>
              </w:rPr>
              <w:t>1989-2012</w:t>
            </w:r>
          </w:p>
        </w:tc>
        <w:tc>
          <w:tcPr>
            <w:tcW w:w="1647" w:type="dxa"/>
          </w:tcPr>
          <w:p w14:paraId="1BECD95D" w14:textId="77777777" w:rsidR="00D94C71" w:rsidRPr="00A059E9" w:rsidRDefault="00D94C71" w:rsidP="00A13BA5">
            <w:pPr>
              <w:spacing w:line="360" w:lineRule="auto"/>
              <w:rPr>
                <w:rFonts w:ascii="Times New Roman" w:hAnsi="Times New Roman" w:cs="Times New Roman"/>
              </w:rPr>
            </w:pPr>
            <w:r w:rsidRPr="00A059E9">
              <w:rPr>
                <w:rFonts w:ascii="Times New Roman" w:hAnsi="Times New Roman" w:cs="Times New Roman"/>
              </w:rPr>
              <w:t>PDO</w:t>
            </w:r>
          </w:p>
        </w:tc>
        <w:tc>
          <w:tcPr>
            <w:tcW w:w="1596" w:type="dxa"/>
          </w:tcPr>
          <w:p w14:paraId="685B79FB" w14:textId="77777777" w:rsidR="00D94C71" w:rsidRPr="00A059E9" w:rsidRDefault="00660371" w:rsidP="00A13BA5">
            <w:pPr>
              <w:spacing w:line="360" w:lineRule="auto"/>
              <w:rPr>
                <w:rFonts w:ascii="Times New Roman" w:hAnsi="Times New Roman" w:cs="Times New Roman"/>
              </w:rPr>
            </w:pPr>
            <w:r>
              <w:rPr>
                <w:rFonts w:ascii="Times New Roman" w:hAnsi="Times New Roman" w:cs="Times New Roman"/>
              </w:rPr>
              <w:t>0.89</w:t>
            </w:r>
          </w:p>
        </w:tc>
        <w:tc>
          <w:tcPr>
            <w:tcW w:w="1436" w:type="dxa"/>
          </w:tcPr>
          <w:p w14:paraId="1863910A" w14:textId="77777777" w:rsidR="00D94C71" w:rsidRPr="00A059E9" w:rsidRDefault="00660371" w:rsidP="00A13BA5">
            <w:pPr>
              <w:spacing w:line="360" w:lineRule="auto"/>
              <w:rPr>
                <w:rFonts w:ascii="Times New Roman" w:hAnsi="Times New Roman" w:cs="Times New Roman"/>
              </w:rPr>
            </w:pPr>
            <w:r>
              <w:rPr>
                <w:rFonts w:ascii="Times New Roman" w:hAnsi="Times New Roman" w:cs="Times New Roman"/>
              </w:rPr>
              <w:t>7.0 x 10</w:t>
            </w:r>
            <w:r w:rsidRPr="00B02AFF">
              <w:rPr>
                <w:rFonts w:ascii="Times New Roman" w:hAnsi="Times New Roman" w:cs="Times New Roman"/>
                <w:vertAlign w:val="superscript"/>
              </w:rPr>
              <w:t>-23</w:t>
            </w:r>
          </w:p>
        </w:tc>
        <w:tc>
          <w:tcPr>
            <w:tcW w:w="1596" w:type="dxa"/>
          </w:tcPr>
          <w:p w14:paraId="3EBFF3F7" w14:textId="77777777" w:rsidR="00D94C71" w:rsidRPr="00A059E9" w:rsidRDefault="007C60E7" w:rsidP="00A13BA5">
            <w:pPr>
              <w:spacing w:line="360" w:lineRule="auto"/>
              <w:rPr>
                <w:rFonts w:ascii="Times New Roman" w:hAnsi="Times New Roman" w:cs="Times New Roman"/>
              </w:rPr>
            </w:pPr>
            <w:r w:rsidRPr="009314B4">
              <w:rPr>
                <w:rFonts w:ascii="Times New Roman" w:hAnsi="Times New Roman" w:cs="Times New Roman"/>
              </w:rPr>
              <w:t>0.37</w:t>
            </w:r>
          </w:p>
        </w:tc>
        <w:tc>
          <w:tcPr>
            <w:tcW w:w="1511" w:type="dxa"/>
          </w:tcPr>
          <w:p w14:paraId="64FF2192" w14:textId="77777777" w:rsidR="00D94C71" w:rsidRPr="00A059E9" w:rsidRDefault="007C60E7" w:rsidP="00A13BA5">
            <w:pPr>
              <w:spacing w:line="360" w:lineRule="auto"/>
              <w:rPr>
                <w:rFonts w:ascii="Times New Roman" w:hAnsi="Times New Roman" w:cs="Times New Roman"/>
              </w:rPr>
            </w:pPr>
            <w:r w:rsidRPr="009314B4">
              <w:rPr>
                <w:rFonts w:ascii="Times New Roman" w:hAnsi="Times New Roman" w:cs="Times New Roman"/>
              </w:rPr>
              <w:t>6.9 x 10</w:t>
            </w:r>
            <w:r w:rsidRPr="009314B4">
              <w:rPr>
                <w:rFonts w:ascii="Times New Roman" w:hAnsi="Times New Roman" w:cs="Times New Roman"/>
                <w:vertAlign w:val="superscript"/>
              </w:rPr>
              <w:t>-4</w:t>
            </w:r>
          </w:p>
        </w:tc>
      </w:tr>
      <w:tr w:rsidR="00D94C71" w:rsidRPr="00A059E9" w14:paraId="4F9A0C55" w14:textId="77777777" w:rsidTr="00DB547F">
        <w:tc>
          <w:tcPr>
            <w:tcW w:w="1564" w:type="dxa"/>
            <w:tcBorders>
              <w:bottom w:val="single" w:sz="4" w:space="0" w:color="auto"/>
            </w:tcBorders>
          </w:tcPr>
          <w:p w14:paraId="681581E1" w14:textId="77777777" w:rsidR="00D94C71" w:rsidRPr="00A059E9" w:rsidRDefault="00D94C71" w:rsidP="00A13BA5">
            <w:pPr>
              <w:spacing w:line="360" w:lineRule="auto"/>
              <w:rPr>
                <w:rFonts w:ascii="Times New Roman" w:hAnsi="Times New Roman" w:cs="Times New Roman"/>
              </w:rPr>
            </w:pPr>
          </w:p>
        </w:tc>
        <w:tc>
          <w:tcPr>
            <w:tcW w:w="1647" w:type="dxa"/>
            <w:tcBorders>
              <w:bottom w:val="single" w:sz="4" w:space="0" w:color="auto"/>
            </w:tcBorders>
          </w:tcPr>
          <w:p w14:paraId="1C247A58" w14:textId="77777777" w:rsidR="00D94C71" w:rsidRPr="00A059E9" w:rsidRDefault="00D94C71" w:rsidP="00A13BA5">
            <w:pPr>
              <w:spacing w:line="360" w:lineRule="auto"/>
              <w:rPr>
                <w:rFonts w:ascii="Times New Roman" w:hAnsi="Times New Roman" w:cs="Times New Roman"/>
              </w:rPr>
            </w:pPr>
            <w:r w:rsidRPr="00A059E9">
              <w:rPr>
                <w:rFonts w:ascii="Times New Roman" w:hAnsi="Times New Roman" w:cs="Times New Roman"/>
              </w:rPr>
              <w:t>NPGO</w:t>
            </w:r>
          </w:p>
        </w:tc>
        <w:tc>
          <w:tcPr>
            <w:tcW w:w="1596" w:type="dxa"/>
            <w:tcBorders>
              <w:bottom w:val="single" w:sz="4" w:space="0" w:color="auto"/>
            </w:tcBorders>
          </w:tcPr>
          <w:p w14:paraId="3E764122" w14:textId="77777777" w:rsidR="00D94C71" w:rsidRPr="00A059E9" w:rsidRDefault="00250E3E" w:rsidP="00A13BA5">
            <w:pPr>
              <w:spacing w:line="360" w:lineRule="auto"/>
              <w:rPr>
                <w:rFonts w:ascii="Times New Roman" w:hAnsi="Times New Roman" w:cs="Times New Roman"/>
              </w:rPr>
            </w:pPr>
            <w:r w:rsidRPr="009314B4">
              <w:rPr>
                <w:rFonts w:ascii="Times New Roman" w:hAnsi="Times New Roman" w:cs="Times New Roman"/>
              </w:rPr>
              <w:t>0.57</w:t>
            </w:r>
          </w:p>
        </w:tc>
        <w:tc>
          <w:tcPr>
            <w:tcW w:w="1436" w:type="dxa"/>
            <w:tcBorders>
              <w:bottom w:val="single" w:sz="4" w:space="0" w:color="auto"/>
            </w:tcBorders>
          </w:tcPr>
          <w:p w14:paraId="59AD93E9" w14:textId="77777777" w:rsidR="00D94C71" w:rsidRPr="00A059E9" w:rsidRDefault="00250E3E" w:rsidP="00A13BA5">
            <w:pPr>
              <w:spacing w:line="360" w:lineRule="auto"/>
              <w:rPr>
                <w:rFonts w:ascii="Times New Roman" w:hAnsi="Times New Roman" w:cs="Times New Roman"/>
              </w:rPr>
            </w:pPr>
            <w:r w:rsidRPr="009314B4">
              <w:rPr>
                <w:rFonts w:ascii="Times New Roman" w:hAnsi="Times New Roman" w:cs="Times New Roman"/>
              </w:rPr>
              <w:t>8.4 x 10</w:t>
            </w:r>
            <w:r w:rsidRPr="009314B4">
              <w:rPr>
                <w:rFonts w:ascii="Times New Roman" w:hAnsi="Times New Roman" w:cs="Times New Roman"/>
                <w:vertAlign w:val="superscript"/>
              </w:rPr>
              <w:t>-4</w:t>
            </w:r>
          </w:p>
        </w:tc>
        <w:tc>
          <w:tcPr>
            <w:tcW w:w="1596" w:type="dxa"/>
            <w:tcBorders>
              <w:bottom w:val="single" w:sz="4" w:space="0" w:color="auto"/>
            </w:tcBorders>
          </w:tcPr>
          <w:p w14:paraId="73103453" w14:textId="77777777" w:rsidR="00D94C71" w:rsidRPr="00A059E9" w:rsidRDefault="00250E3E" w:rsidP="00A13BA5">
            <w:pPr>
              <w:spacing w:line="360" w:lineRule="auto"/>
              <w:rPr>
                <w:rFonts w:ascii="Times New Roman" w:hAnsi="Times New Roman" w:cs="Times New Roman"/>
              </w:rPr>
            </w:pPr>
            <w:r>
              <w:rPr>
                <w:rFonts w:ascii="Times New Roman" w:hAnsi="Times New Roman" w:cs="Times New Roman"/>
              </w:rPr>
              <w:t>0.35</w:t>
            </w:r>
          </w:p>
        </w:tc>
        <w:tc>
          <w:tcPr>
            <w:tcW w:w="1511" w:type="dxa"/>
            <w:tcBorders>
              <w:bottom w:val="single" w:sz="4" w:space="0" w:color="auto"/>
            </w:tcBorders>
          </w:tcPr>
          <w:p w14:paraId="4FB43675" w14:textId="77777777" w:rsidR="00D94C71" w:rsidRPr="00A059E9" w:rsidRDefault="00250E3E" w:rsidP="00A13BA5">
            <w:pPr>
              <w:spacing w:line="360" w:lineRule="auto"/>
              <w:rPr>
                <w:rFonts w:ascii="Times New Roman" w:hAnsi="Times New Roman" w:cs="Times New Roman"/>
              </w:rPr>
            </w:pPr>
            <w:r>
              <w:rPr>
                <w:rFonts w:ascii="Times New Roman" w:hAnsi="Times New Roman" w:cs="Times New Roman"/>
              </w:rPr>
              <w:t>0.02</w:t>
            </w:r>
          </w:p>
        </w:tc>
      </w:tr>
    </w:tbl>
    <w:p w14:paraId="63D7ECF2" w14:textId="77777777" w:rsidR="00D50D82" w:rsidRPr="00673904" w:rsidRDefault="00D50D82" w:rsidP="00A13BA5">
      <w:pPr>
        <w:spacing w:line="360" w:lineRule="auto"/>
        <w:rPr>
          <w:rFonts w:ascii="Times New Roman" w:hAnsi="Times New Roman" w:cs="Times New Roman"/>
          <w:sz w:val="22"/>
          <w:szCs w:val="22"/>
        </w:rPr>
      </w:pPr>
    </w:p>
    <w:p w14:paraId="6DA9F879" w14:textId="77777777" w:rsidR="00D50D82" w:rsidRDefault="00D50D82" w:rsidP="00A13BA5">
      <w:pPr>
        <w:spacing w:line="360" w:lineRule="auto"/>
        <w:rPr>
          <w:rFonts w:ascii="Times New Roman" w:hAnsi="Times New Roman" w:cs="Times New Roman"/>
          <w:sz w:val="22"/>
          <w:szCs w:val="22"/>
        </w:rPr>
      </w:pPr>
      <w:r>
        <w:rPr>
          <w:rFonts w:ascii="Times New Roman" w:hAnsi="Times New Roman" w:cs="Times New Roman"/>
          <w:sz w:val="22"/>
          <w:szCs w:val="22"/>
        </w:rPr>
        <w:br w:type="page"/>
      </w:r>
    </w:p>
    <w:p w14:paraId="2CAE1DC3" w14:textId="77777777" w:rsidR="002C1DC7" w:rsidRDefault="002C1DC7" w:rsidP="00A13BA5">
      <w:pPr>
        <w:spacing w:line="360" w:lineRule="auto"/>
        <w:rPr>
          <w:rFonts w:ascii="Times New Roman" w:hAnsi="Times New Roman" w:cs="Times New Roman"/>
          <w:sz w:val="22"/>
          <w:szCs w:val="22"/>
        </w:rPr>
      </w:pPr>
    </w:p>
    <w:p w14:paraId="2EB89995" w14:textId="77777777" w:rsidR="002C1DC7" w:rsidRDefault="002C1DC7" w:rsidP="00A13BA5">
      <w:pPr>
        <w:spacing w:line="360" w:lineRule="auto"/>
        <w:rPr>
          <w:rFonts w:ascii="Times New Roman" w:hAnsi="Times New Roman" w:cs="Times New Roman"/>
          <w:sz w:val="22"/>
          <w:szCs w:val="22"/>
        </w:rPr>
      </w:pPr>
    </w:p>
    <w:p w14:paraId="7AE8B780" w14:textId="77777777" w:rsidR="002C1DC7" w:rsidRDefault="002C1DC7" w:rsidP="00A13BA5">
      <w:pPr>
        <w:spacing w:line="360" w:lineRule="auto"/>
        <w:rPr>
          <w:rFonts w:ascii="Times New Roman" w:hAnsi="Times New Roman" w:cs="Times New Roman"/>
          <w:sz w:val="22"/>
          <w:szCs w:val="22"/>
        </w:rPr>
      </w:pPr>
      <w:r>
        <w:rPr>
          <w:rFonts w:ascii="Times New Roman" w:hAnsi="Times New Roman" w:cs="Times New Roman"/>
          <w:noProof/>
          <w:sz w:val="22"/>
          <w:szCs w:val="22"/>
        </w:rPr>
        <w:drawing>
          <wp:inline distT="0" distB="0" distL="0" distR="0" wp14:anchorId="491D3685" wp14:editId="00C166D5">
            <wp:extent cx="5626100" cy="27081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ds_jra_EOF1_map.png"/>
                    <pic:cNvPicPr/>
                  </pic:nvPicPr>
                  <pic:blipFill>
                    <a:blip r:embed="rId7">
                      <a:extLst>
                        <a:ext uri="{28A0092B-C50C-407E-A947-70E740481C1C}">
                          <a14:useLocalDpi xmlns:a14="http://schemas.microsoft.com/office/drawing/2010/main" val="0"/>
                        </a:ext>
                      </a:extLst>
                    </a:blip>
                    <a:stretch>
                      <a:fillRect/>
                    </a:stretch>
                  </pic:blipFill>
                  <pic:spPr>
                    <a:xfrm>
                      <a:off x="0" y="0"/>
                      <a:ext cx="5626100" cy="2708156"/>
                    </a:xfrm>
                    <a:prstGeom prst="rect">
                      <a:avLst/>
                    </a:prstGeom>
                  </pic:spPr>
                </pic:pic>
              </a:graphicData>
            </a:graphic>
          </wp:inline>
        </w:drawing>
      </w:r>
    </w:p>
    <w:p w14:paraId="4CD4A98D" w14:textId="359AA041" w:rsidR="00683876" w:rsidRPr="002C1DC7" w:rsidRDefault="002C1DC7" w:rsidP="00032692">
      <w:pPr>
        <w:rPr>
          <w:rFonts w:ascii="Times New Roman" w:hAnsi="Times New Roman" w:cs="Times New Roman"/>
          <w:sz w:val="22"/>
          <w:szCs w:val="22"/>
        </w:rPr>
      </w:pPr>
      <w:r>
        <w:rPr>
          <w:rFonts w:ascii="Times New Roman" w:hAnsi="Times New Roman" w:cs="Times New Roman"/>
          <w:b/>
          <w:sz w:val="22"/>
          <w:szCs w:val="22"/>
        </w:rPr>
        <w:t>Fig</w:t>
      </w:r>
      <w:r w:rsidR="005932B7">
        <w:rPr>
          <w:rFonts w:ascii="Times New Roman" w:hAnsi="Times New Roman" w:cs="Times New Roman"/>
          <w:b/>
          <w:sz w:val="22"/>
          <w:szCs w:val="22"/>
        </w:rPr>
        <w:t>ure</w:t>
      </w:r>
      <w:r>
        <w:rPr>
          <w:rFonts w:ascii="Times New Roman" w:hAnsi="Times New Roman" w:cs="Times New Roman"/>
          <w:b/>
          <w:sz w:val="22"/>
          <w:szCs w:val="22"/>
        </w:rPr>
        <w:t xml:space="preserve"> S1.</w:t>
      </w:r>
      <w:r>
        <w:rPr>
          <w:rFonts w:ascii="Times New Roman" w:hAnsi="Times New Roman" w:cs="Times New Roman"/>
          <w:sz w:val="22"/>
          <w:szCs w:val="22"/>
        </w:rPr>
        <w:t xml:space="preserve"> EOF1 of GOA </w:t>
      </w:r>
      <w:r w:rsidR="00B0787D">
        <w:rPr>
          <w:rFonts w:ascii="Times New Roman" w:hAnsi="Times New Roman" w:cs="Times New Roman"/>
          <w:sz w:val="22"/>
          <w:szCs w:val="22"/>
        </w:rPr>
        <w:t xml:space="preserve">monthly </w:t>
      </w:r>
      <w:r>
        <w:rPr>
          <w:rFonts w:ascii="Times New Roman" w:hAnsi="Times New Roman" w:cs="Times New Roman"/>
          <w:sz w:val="22"/>
          <w:szCs w:val="22"/>
        </w:rPr>
        <w:t>wind stress</w:t>
      </w:r>
      <w:r w:rsidR="001377A8">
        <w:rPr>
          <w:rFonts w:ascii="Times New Roman" w:hAnsi="Times New Roman" w:cs="Times New Roman"/>
          <w:sz w:val="22"/>
          <w:szCs w:val="22"/>
        </w:rPr>
        <w:t xml:space="preserve"> (both u- and v-components, all months, 1959-2011)</w:t>
      </w:r>
      <w:r>
        <w:rPr>
          <w:rFonts w:ascii="Times New Roman" w:hAnsi="Times New Roman" w:cs="Times New Roman"/>
          <w:sz w:val="22"/>
          <w:szCs w:val="22"/>
        </w:rPr>
        <w:t xml:space="preserve">. The corresponding time series (PC1) was used in </w:t>
      </w:r>
      <w:r w:rsidR="00822983">
        <w:rPr>
          <w:rFonts w:ascii="Times New Roman" w:hAnsi="Times New Roman" w:cs="Times New Roman"/>
          <w:sz w:val="22"/>
          <w:szCs w:val="22"/>
        </w:rPr>
        <w:t xml:space="preserve">analysis for </w:t>
      </w:r>
      <w:r>
        <w:rPr>
          <w:rFonts w:ascii="Times New Roman" w:hAnsi="Times New Roman" w:cs="Times New Roman"/>
          <w:sz w:val="22"/>
          <w:szCs w:val="22"/>
        </w:rPr>
        <w:t>Figs. 3 and 6.</w:t>
      </w:r>
    </w:p>
    <w:p w14:paraId="15797066" w14:textId="77777777" w:rsidR="002C1DC7" w:rsidRDefault="002C1DC7" w:rsidP="00A13BA5">
      <w:pPr>
        <w:spacing w:line="360" w:lineRule="auto"/>
        <w:rPr>
          <w:rFonts w:ascii="Times New Roman" w:hAnsi="Times New Roman" w:cs="Times New Roman"/>
          <w:sz w:val="22"/>
          <w:szCs w:val="22"/>
        </w:rPr>
      </w:pPr>
      <w:r>
        <w:rPr>
          <w:rFonts w:ascii="Times New Roman" w:hAnsi="Times New Roman" w:cs="Times New Roman"/>
          <w:sz w:val="22"/>
          <w:szCs w:val="22"/>
        </w:rPr>
        <w:br w:type="page"/>
      </w:r>
    </w:p>
    <w:p w14:paraId="6ED9BB4A" w14:textId="77777777" w:rsidR="00CD4381" w:rsidRDefault="00CD4381" w:rsidP="00A13BA5">
      <w:pPr>
        <w:spacing w:line="360" w:lineRule="auto"/>
        <w:rPr>
          <w:rFonts w:ascii="Times New Roman" w:hAnsi="Times New Roman" w:cs="Times New Roman"/>
          <w:sz w:val="22"/>
          <w:szCs w:val="22"/>
        </w:rPr>
      </w:pPr>
    </w:p>
    <w:p w14:paraId="31F2F59A" w14:textId="77777777" w:rsidR="002C1DC7" w:rsidRDefault="00CD4381" w:rsidP="00A13BA5">
      <w:pPr>
        <w:spacing w:line="360" w:lineRule="auto"/>
        <w:rPr>
          <w:rFonts w:ascii="Times New Roman" w:hAnsi="Times New Roman" w:cs="Times New Roman"/>
          <w:sz w:val="22"/>
          <w:szCs w:val="22"/>
        </w:rPr>
      </w:pPr>
      <w:r w:rsidRPr="0006406B">
        <w:rPr>
          <w:rFonts w:ascii="Times New Roman" w:hAnsi="Times New Roman" w:cs="Times New Roman"/>
          <w:noProof/>
          <w:sz w:val="22"/>
          <w:szCs w:val="22"/>
        </w:rPr>
        <w:drawing>
          <wp:inline distT="0" distB="0" distL="0" distR="0" wp14:anchorId="1692BD0B" wp14:editId="4EC9CC99">
            <wp:extent cx="5943599" cy="4956682"/>
            <wp:effectExtent l="0" t="0" r="63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S2.png"/>
                    <pic:cNvPicPr/>
                  </pic:nvPicPr>
                  <pic:blipFill>
                    <a:blip r:embed="rId8"/>
                    <a:stretch>
                      <a:fillRect/>
                    </a:stretch>
                  </pic:blipFill>
                  <pic:spPr>
                    <a:xfrm>
                      <a:off x="0" y="0"/>
                      <a:ext cx="5943599" cy="4956682"/>
                    </a:xfrm>
                    <a:prstGeom prst="rect">
                      <a:avLst/>
                    </a:prstGeom>
                  </pic:spPr>
                </pic:pic>
              </a:graphicData>
            </a:graphic>
          </wp:inline>
        </w:drawing>
      </w:r>
    </w:p>
    <w:p w14:paraId="50C4E831" w14:textId="77777777" w:rsidR="00B561D8" w:rsidRDefault="00B561D8" w:rsidP="00A13BA5">
      <w:pPr>
        <w:spacing w:line="360" w:lineRule="auto"/>
        <w:rPr>
          <w:rFonts w:ascii="Times New Roman" w:hAnsi="Times New Roman" w:cs="Times New Roman"/>
          <w:sz w:val="22"/>
          <w:szCs w:val="22"/>
        </w:rPr>
      </w:pPr>
    </w:p>
    <w:p w14:paraId="2D0C7213" w14:textId="5D5BDF28" w:rsidR="00126805" w:rsidRDefault="00B561D8" w:rsidP="00032692">
      <w:pPr>
        <w:rPr>
          <w:rFonts w:ascii="Times New Roman" w:hAnsi="Times New Roman" w:cs="Times New Roman"/>
          <w:sz w:val="22"/>
          <w:szCs w:val="22"/>
        </w:rPr>
      </w:pPr>
      <w:r w:rsidRPr="0006406B">
        <w:rPr>
          <w:rFonts w:ascii="Times New Roman" w:hAnsi="Times New Roman" w:cs="Times New Roman"/>
          <w:b/>
          <w:sz w:val="22"/>
          <w:szCs w:val="22"/>
        </w:rPr>
        <w:t>Fig</w:t>
      </w:r>
      <w:r w:rsidR="005932B7">
        <w:rPr>
          <w:rFonts w:ascii="Times New Roman" w:hAnsi="Times New Roman" w:cs="Times New Roman"/>
          <w:b/>
          <w:sz w:val="22"/>
          <w:szCs w:val="22"/>
        </w:rPr>
        <w:t>ure</w:t>
      </w:r>
      <w:r w:rsidRPr="0006406B">
        <w:rPr>
          <w:rFonts w:ascii="Times New Roman" w:hAnsi="Times New Roman" w:cs="Times New Roman"/>
          <w:b/>
          <w:sz w:val="22"/>
          <w:szCs w:val="22"/>
        </w:rPr>
        <w:t xml:space="preserve"> S</w:t>
      </w:r>
      <w:r w:rsidR="00214492">
        <w:rPr>
          <w:rFonts w:ascii="Times New Roman" w:hAnsi="Times New Roman" w:cs="Times New Roman"/>
          <w:b/>
          <w:sz w:val="22"/>
          <w:szCs w:val="22"/>
        </w:rPr>
        <w:t>2</w:t>
      </w:r>
      <w:r w:rsidRPr="0006406B">
        <w:rPr>
          <w:rFonts w:ascii="Times New Roman" w:hAnsi="Times New Roman" w:cs="Times New Roman"/>
          <w:b/>
          <w:sz w:val="22"/>
          <w:szCs w:val="22"/>
        </w:rPr>
        <w:t>.</w:t>
      </w:r>
      <w:r>
        <w:rPr>
          <w:rFonts w:ascii="Times New Roman" w:hAnsi="Times New Roman" w:cs="Times New Roman"/>
          <w:sz w:val="22"/>
          <w:szCs w:val="22"/>
        </w:rPr>
        <w:t xml:space="preserve"> Loadings </w:t>
      </w:r>
      <w:r w:rsidR="000A0803">
        <w:rPr>
          <w:rFonts w:ascii="Times New Roman" w:hAnsi="Times New Roman" w:cs="Times New Roman"/>
          <w:sz w:val="22"/>
          <w:szCs w:val="22"/>
        </w:rPr>
        <w:t>from</w:t>
      </w:r>
      <w:r>
        <w:rPr>
          <w:rFonts w:ascii="Times New Roman" w:hAnsi="Times New Roman" w:cs="Times New Roman"/>
          <w:sz w:val="22"/>
          <w:szCs w:val="22"/>
        </w:rPr>
        <w:t xml:space="preserve"> EOF analysis on North Pacific SSTa fields during 1950-1988 and 1989-2012</w:t>
      </w:r>
      <w:r w:rsidR="00295384">
        <w:rPr>
          <w:rFonts w:ascii="Times New Roman" w:hAnsi="Times New Roman" w:cs="Times New Roman"/>
          <w:sz w:val="22"/>
          <w:szCs w:val="22"/>
        </w:rPr>
        <w:t xml:space="preserve"> (data from all months)</w:t>
      </w:r>
      <w:r>
        <w:rPr>
          <w:rFonts w:ascii="Times New Roman" w:hAnsi="Times New Roman" w:cs="Times New Roman"/>
          <w:sz w:val="22"/>
          <w:szCs w:val="22"/>
        </w:rPr>
        <w:t>. Values in parentheses above each panel indicate the total proportion of variance explained</w:t>
      </w:r>
      <w:r w:rsidR="00370701">
        <w:rPr>
          <w:rFonts w:ascii="Times New Roman" w:hAnsi="Times New Roman" w:cs="Times New Roman"/>
          <w:sz w:val="22"/>
          <w:szCs w:val="22"/>
        </w:rPr>
        <w:t xml:space="preserve"> by each </w:t>
      </w:r>
      <w:r w:rsidR="00295384">
        <w:rPr>
          <w:rFonts w:ascii="Times New Roman" w:hAnsi="Times New Roman" w:cs="Times New Roman"/>
          <w:sz w:val="22"/>
          <w:szCs w:val="22"/>
        </w:rPr>
        <w:t>principal component</w:t>
      </w:r>
      <w:r>
        <w:rPr>
          <w:rFonts w:ascii="Times New Roman" w:hAnsi="Times New Roman" w:cs="Times New Roman"/>
          <w:sz w:val="22"/>
          <w:szCs w:val="22"/>
        </w:rPr>
        <w:t>.</w:t>
      </w:r>
    </w:p>
    <w:p w14:paraId="51810750" w14:textId="77777777" w:rsidR="00126805" w:rsidRDefault="00126805" w:rsidP="00A13BA5">
      <w:pPr>
        <w:spacing w:line="360" w:lineRule="auto"/>
        <w:rPr>
          <w:rFonts w:ascii="Times New Roman" w:hAnsi="Times New Roman" w:cs="Times New Roman"/>
          <w:sz w:val="22"/>
          <w:szCs w:val="22"/>
        </w:rPr>
      </w:pPr>
      <w:r>
        <w:rPr>
          <w:rFonts w:ascii="Times New Roman" w:hAnsi="Times New Roman" w:cs="Times New Roman"/>
          <w:sz w:val="22"/>
          <w:szCs w:val="22"/>
        </w:rPr>
        <w:br w:type="page"/>
      </w:r>
    </w:p>
    <w:p w14:paraId="5E025BAE" w14:textId="77777777" w:rsidR="00B561D8" w:rsidRDefault="00B561D8" w:rsidP="00A13BA5">
      <w:pPr>
        <w:spacing w:line="360" w:lineRule="auto"/>
        <w:rPr>
          <w:rFonts w:ascii="Times New Roman" w:hAnsi="Times New Roman" w:cs="Times New Roman"/>
          <w:sz w:val="22"/>
          <w:szCs w:val="22"/>
        </w:rPr>
      </w:pPr>
    </w:p>
    <w:p w14:paraId="1B841754" w14:textId="77777777" w:rsidR="00126805" w:rsidRDefault="00126805" w:rsidP="00A13BA5">
      <w:pPr>
        <w:spacing w:line="360" w:lineRule="auto"/>
        <w:rPr>
          <w:rFonts w:ascii="Times New Roman" w:hAnsi="Times New Roman" w:cs="Times New Roman"/>
          <w:sz w:val="22"/>
          <w:szCs w:val="22"/>
        </w:rPr>
      </w:pPr>
      <w:r w:rsidRPr="0006406B">
        <w:rPr>
          <w:rFonts w:ascii="Times New Roman" w:hAnsi="Times New Roman" w:cs="Times New Roman"/>
          <w:noProof/>
          <w:sz w:val="22"/>
          <w:szCs w:val="22"/>
        </w:rPr>
        <w:drawing>
          <wp:inline distT="0" distB="0" distL="0" distR="0" wp14:anchorId="226A57B6" wp14:editId="64B39BD2">
            <wp:extent cx="5943600" cy="2971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 S3.png"/>
                    <pic:cNvPicPr/>
                  </pic:nvPicPr>
                  <pic:blipFill>
                    <a:blip r:embed="rId9">
                      <a:extLst>
                        <a:ext uri="{28A0092B-C50C-407E-A947-70E740481C1C}">
                          <a14:useLocalDpi xmlns:a14="http://schemas.microsoft.com/office/drawing/2010/main" val="0"/>
                        </a:ext>
                      </a:extLst>
                    </a:blip>
                    <a:stretch>
                      <a:fillRect/>
                    </a:stretch>
                  </pic:blipFill>
                  <pic:spPr>
                    <a:xfrm>
                      <a:off x="0" y="0"/>
                      <a:ext cx="5943600" cy="2971800"/>
                    </a:xfrm>
                    <a:prstGeom prst="rect">
                      <a:avLst/>
                    </a:prstGeom>
                  </pic:spPr>
                </pic:pic>
              </a:graphicData>
            </a:graphic>
          </wp:inline>
        </w:drawing>
      </w:r>
    </w:p>
    <w:p w14:paraId="357FA152" w14:textId="46232ED6" w:rsidR="00076288" w:rsidRPr="00673904" w:rsidRDefault="00076288" w:rsidP="00032692">
      <w:pPr>
        <w:rPr>
          <w:rFonts w:ascii="Times New Roman" w:hAnsi="Times New Roman" w:cs="Times New Roman"/>
          <w:sz w:val="22"/>
          <w:szCs w:val="22"/>
        </w:rPr>
      </w:pPr>
      <w:r w:rsidRPr="0006406B">
        <w:rPr>
          <w:rFonts w:ascii="Times New Roman" w:hAnsi="Times New Roman" w:cs="Times New Roman"/>
          <w:b/>
          <w:sz w:val="22"/>
          <w:szCs w:val="22"/>
        </w:rPr>
        <w:t>Fig</w:t>
      </w:r>
      <w:r w:rsidR="005932B7">
        <w:rPr>
          <w:rFonts w:ascii="Times New Roman" w:hAnsi="Times New Roman" w:cs="Times New Roman"/>
          <w:b/>
          <w:sz w:val="22"/>
          <w:szCs w:val="22"/>
        </w:rPr>
        <w:t>ure</w:t>
      </w:r>
      <w:r w:rsidRPr="0006406B">
        <w:rPr>
          <w:rFonts w:ascii="Times New Roman" w:hAnsi="Times New Roman" w:cs="Times New Roman"/>
          <w:b/>
          <w:sz w:val="22"/>
          <w:szCs w:val="22"/>
        </w:rPr>
        <w:t xml:space="preserve"> S3.</w:t>
      </w:r>
      <w:r>
        <w:rPr>
          <w:rFonts w:ascii="Times New Roman" w:hAnsi="Times New Roman" w:cs="Times New Roman"/>
          <w:sz w:val="22"/>
          <w:szCs w:val="22"/>
        </w:rPr>
        <w:t xml:space="preserve"> </w:t>
      </w:r>
      <w:r w:rsidR="00057388">
        <w:rPr>
          <w:rFonts w:ascii="Times New Roman" w:hAnsi="Times New Roman" w:cs="Times New Roman"/>
          <w:sz w:val="22"/>
          <w:szCs w:val="22"/>
        </w:rPr>
        <w:t xml:space="preserve">Non-stationary relationships between the PDO index and wind stress in the </w:t>
      </w:r>
      <w:r w:rsidR="008C5A3A">
        <w:rPr>
          <w:rFonts w:ascii="Times New Roman" w:hAnsi="Times New Roman" w:cs="Times New Roman"/>
          <w:sz w:val="22"/>
          <w:szCs w:val="22"/>
        </w:rPr>
        <w:t>u</w:t>
      </w:r>
      <w:r w:rsidR="005932B7">
        <w:rPr>
          <w:rFonts w:ascii="Times New Roman" w:hAnsi="Times New Roman" w:cs="Times New Roman"/>
          <w:sz w:val="22"/>
          <w:szCs w:val="22"/>
        </w:rPr>
        <w:t>-</w:t>
      </w:r>
      <w:r w:rsidR="00057388">
        <w:rPr>
          <w:rFonts w:ascii="Times New Roman" w:hAnsi="Times New Roman" w:cs="Times New Roman"/>
          <w:sz w:val="22"/>
          <w:szCs w:val="22"/>
        </w:rPr>
        <w:t xml:space="preserve"> (</w:t>
      </w:r>
      <w:r w:rsidR="00057388" w:rsidRPr="0006406B">
        <w:rPr>
          <w:rFonts w:ascii="Times New Roman" w:hAnsi="Times New Roman" w:cs="Times New Roman"/>
          <w:b/>
          <w:sz w:val="22"/>
          <w:szCs w:val="22"/>
        </w:rPr>
        <w:t>a-c</w:t>
      </w:r>
      <w:r w:rsidR="00057388">
        <w:rPr>
          <w:rFonts w:ascii="Times New Roman" w:hAnsi="Times New Roman" w:cs="Times New Roman"/>
          <w:sz w:val="22"/>
          <w:szCs w:val="22"/>
        </w:rPr>
        <w:t xml:space="preserve">) and </w:t>
      </w:r>
      <w:r w:rsidR="008C5A3A">
        <w:rPr>
          <w:rFonts w:ascii="Times New Roman" w:hAnsi="Times New Roman" w:cs="Times New Roman"/>
          <w:sz w:val="22"/>
          <w:szCs w:val="22"/>
        </w:rPr>
        <w:t>v</w:t>
      </w:r>
      <w:r w:rsidR="005932B7">
        <w:rPr>
          <w:rFonts w:ascii="Times New Roman" w:hAnsi="Times New Roman" w:cs="Times New Roman"/>
          <w:sz w:val="22"/>
          <w:szCs w:val="22"/>
        </w:rPr>
        <w:t>-</w:t>
      </w:r>
      <w:r w:rsidR="00057388">
        <w:rPr>
          <w:rFonts w:ascii="Times New Roman" w:hAnsi="Times New Roman" w:cs="Times New Roman"/>
          <w:sz w:val="22"/>
          <w:szCs w:val="22"/>
        </w:rPr>
        <w:t xml:space="preserve"> (</w:t>
      </w:r>
      <w:r w:rsidR="00057388" w:rsidRPr="0006406B">
        <w:rPr>
          <w:rFonts w:ascii="Times New Roman" w:hAnsi="Times New Roman" w:cs="Times New Roman"/>
          <w:b/>
          <w:sz w:val="22"/>
          <w:szCs w:val="22"/>
        </w:rPr>
        <w:t>d-f</w:t>
      </w:r>
      <w:r w:rsidR="00057388">
        <w:rPr>
          <w:rFonts w:ascii="Times New Roman" w:hAnsi="Times New Roman" w:cs="Times New Roman"/>
          <w:sz w:val="22"/>
          <w:szCs w:val="22"/>
        </w:rPr>
        <w:t xml:space="preserve">) directions. </w:t>
      </w:r>
      <w:r w:rsidR="008C5A3A">
        <w:rPr>
          <w:rFonts w:ascii="Times New Roman" w:hAnsi="Times New Roman" w:cs="Times New Roman"/>
          <w:sz w:val="22"/>
          <w:szCs w:val="22"/>
        </w:rPr>
        <w:t xml:space="preserve">Positive (negative) regression coefficients for u-wind stress indicate increased eastward (westward) wind stress with increasing values of the PDO index. Positive (negative) regression coefficients for v-wind stress indicate increased northward (southward) wind stress with increasing PDO values. </w:t>
      </w:r>
      <w:r w:rsidR="00057388">
        <w:rPr>
          <w:rFonts w:ascii="Times New Roman" w:hAnsi="Times New Roman" w:cs="Times New Roman"/>
          <w:sz w:val="22"/>
          <w:szCs w:val="22"/>
        </w:rPr>
        <w:t xml:space="preserve">Left-hand panels plot regression coefficients for 1950-1988, middle panels plot regression </w:t>
      </w:r>
      <w:r w:rsidR="00A55C23">
        <w:rPr>
          <w:rFonts w:ascii="Times New Roman" w:hAnsi="Times New Roman" w:cs="Times New Roman"/>
          <w:sz w:val="22"/>
          <w:szCs w:val="22"/>
        </w:rPr>
        <w:t>coefficients</w:t>
      </w:r>
      <w:r w:rsidR="00057388">
        <w:rPr>
          <w:rFonts w:ascii="Times New Roman" w:hAnsi="Times New Roman" w:cs="Times New Roman"/>
          <w:sz w:val="22"/>
          <w:szCs w:val="22"/>
        </w:rPr>
        <w:t xml:space="preserve"> for 1989-2012, and right-hand panels plot areas with significant </w:t>
      </w:r>
      <w:r w:rsidR="00A55C23">
        <w:rPr>
          <w:rFonts w:ascii="Times New Roman" w:hAnsi="Times New Roman" w:cs="Times New Roman"/>
          <w:sz w:val="22"/>
          <w:szCs w:val="22"/>
        </w:rPr>
        <w:t xml:space="preserve">differences in the </w:t>
      </w:r>
      <w:r w:rsidR="00057388">
        <w:rPr>
          <w:rFonts w:ascii="Times New Roman" w:hAnsi="Times New Roman" w:cs="Times New Roman"/>
          <w:sz w:val="22"/>
          <w:szCs w:val="22"/>
        </w:rPr>
        <w:t xml:space="preserve">regression coefficient </w:t>
      </w:r>
      <w:r w:rsidR="00A55C23">
        <w:rPr>
          <w:rFonts w:ascii="Times New Roman" w:hAnsi="Times New Roman" w:cs="Times New Roman"/>
          <w:sz w:val="22"/>
          <w:szCs w:val="22"/>
        </w:rPr>
        <w:t>during the two intervals</w:t>
      </w:r>
      <w:r w:rsidR="00057388">
        <w:rPr>
          <w:rFonts w:ascii="Times New Roman" w:hAnsi="Times New Roman" w:cs="Times New Roman"/>
          <w:sz w:val="22"/>
          <w:szCs w:val="22"/>
        </w:rPr>
        <w:t xml:space="preserve"> (P &lt; 0.05). </w:t>
      </w:r>
      <w:r w:rsidR="00A55C23">
        <w:rPr>
          <w:rFonts w:ascii="Times New Roman" w:hAnsi="Times New Roman" w:cs="Times New Roman"/>
          <w:sz w:val="22"/>
          <w:szCs w:val="22"/>
        </w:rPr>
        <w:t>The black polygon</w:t>
      </w:r>
      <w:r w:rsidR="00057388">
        <w:rPr>
          <w:rFonts w:ascii="Times New Roman" w:hAnsi="Times New Roman" w:cs="Times New Roman"/>
          <w:sz w:val="22"/>
          <w:szCs w:val="22"/>
        </w:rPr>
        <w:t xml:space="preserve"> indicate</w:t>
      </w:r>
      <w:r w:rsidR="00A55C23">
        <w:rPr>
          <w:rFonts w:ascii="Times New Roman" w:hAnsi="Times New Roman" w:cs="Times New Roman"/>
          <w:sz w:val="22"/>
          <w:szCs w:val="22"/>
        </w:rPr>
        <w:t>s</w:t>
      </w:r>
      <w:r w:rsidR="00057388">
        <w:rPr>
          <w:rFonts w:ascii="Times New Roman" w:hAnsi="Times New Roman" w:cs="Times New Roman"/>
          <w:sz w:val="22"/>
          <w:szCs w:val="22"/>
        </w:rPr>
        <w:t xml:space="preserve"> the Gulf of Alaska.</w:t>
      </w:r>
    </w:p>
    <w:p w14:paraId="7C5C9C47" w14:textId="77777777" w:rsidR="00683876" w:rsidRPr="00673904" w:rsidRDefault="00683876" w:rsidP="00A13BA5">
      <w:pPr>
        <w:spacing w:line="360" w:lineRule="auto"/>
        <w:jc w:val="center"/>
        <w:rPr>
          <w:rFonts w:ascii="Times New Roman" w:hAnsi="Times New Roman" w:cs="Times New Roman"/>
          <w:sz w:val="22"/>
          <w:szCs w:val="22"/>
        </w:rPr>
      </w:pPr>
      <w:r w:rsidRPr="00673904">
        <w:rPr>
          <w:rFonts w:ascii="Times New Roman" w:hAnsi="Times New Roman" w:cs="Times New Roman"/>
          <w:noProof/>
          <w:sz w:val="22"/>
          <w:szCs w:val="22"/>
        </w:rPr>
        <w:lastRenderedPageBreak/>
        <w:drawing>
          <wp:inline distT="0" distB="0" distL="0" distR="0" wp14:anchorId="596DC069" wp14:editId="627B5AB4">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 S1.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14:paraId="07E459AA" w14:textId="008CF295" w:rsidR="00BA0208" w:rsidRPr="00673904" w:rsidRDefault="00673904" w:rsidP="00032692">
      <w:pPr>
        <w:rPr>
          <w:rFonts w:ascii="Times New Roman" w:hAnsi="Times New Roman" w:cs="Times New Roman"/>
          <w:sz w:val="22"/>
          <w:szCs w:val="22"/>
        </w:rPr>
      </w:pPr>
      <w:r w:rsidRPr="001377A8">
        <w:rPr>
          <w:rFonts w:ascii="Times New Roman" w:hAnsi="Times New Roman" w:cs="Times New Roman"/>
          <w:b/>
          <w:sz w:val="22"/>
          <w:szCs w:val="22"/>
        </w:rPr>
        <w:t>Figure</w:t>
      </w:r>
      <w:r w:rsidR="00683876" w:rsidRPr="001377A8">
        <w:rPr>
          <w:rFonts w:ascii="Times New Roman" w:hAnsi="Times New Roman" w:cs="Times New Roman"/>
          <w:b/>
          <w:sz w:val="22"/>
          <w:szCs w:val="22"/>
        </w:rPr>
        <w:t xml:space="preserve"> </w:t>
      </w:r>
      <w:r w:rsidRPr="001377A8">
        <w:rPr>
          <w:rFonts w:ascii="Times New Roman" w:hAnsi="Times New Roman" w:cs="Times New Roman"/>
          <w:b/>
          <w:sz w:val="22"/>
          <w:szCs w:val="22"/>
        </w:rPr>
        <w:t>S</w:t>
      </w:r>
      <w:r w:rsidR="00271CEB" w:rsidRPr="0006406B">
        <w:rPr>
          <w:rFonts w:ascii="Times New Roman" w:hAnsi="Times New Roman" w:cs="Times New Roman"/>
          <w:b/>
          <w:sz w:val="22"/>
          <w:szCs w:val="22"/>
        </w:rPr>
        <w:t>4.</w:t>
      </w:r>
      <w:r>
        <w:rPr>
          <w:rFonts w:ascii="Times New Roman" w:hAnsi="Times New Roman" w:cs="Times New Roman"/>
          <w:b/>
          <w:sz w:val="22"/>
          <w:szCs w:val="22"/>
        </w:rPr>
        <w:t xml:space="preserve"> </w:t>
      </w:r>
      <w:r w:rsidR="00683876" w:rsidRPr="00673904">
        <w:rPr>
          <w:rFonts w:ascii="Times New Roman" w:hAnsi="Times New Roman" w:cs="Times New Roman"/>
          <w:sz w:val="22"/>
          <w:szCs w:val="22"/>
        </w:rPr>
        <w:t>Spatial expression of changing temporal variability in SLPa. Plotted values are differences in temporal</w:t>
      </w:r>
      <w:r w:rsidR="00A55C23">
        <w:rPr>
          <w:rFonts w:ascii="Times New Roman" w:hAnsi="Times New Roman" w:cs="Times New Roman"/>
          <w:sz w:val="22"/>
          <w:szCs w:val="22"/>
        </w:rPr>
        <w:t xml:space="preserve"> variability expressed as</w:t>
      </w:r>
      <w:r w:rsidR="00683876" w:rsidRPr="00673904">
        <w:rPr>
          <w:rFonts w:ascii="Times New Roman" w:hAnsi="Times New Roman" w:cs="Times New Roman"/>
          <w:sz w:val="22"/>
          <w:szCs w:val="22"/>
        </w:rPr>
        <w:t xml:space="preserve"> standard deviation </w:t>
      </w:r>
      <w:r w:rsidR="00A55C23">
        <w:rPr>
          <w:rFonts w:ascii="Times New Roman" w:hAnsi="Times New Roman" w:cs="Times New Roman"/>
          <w:sz w:val="22"/>
          <w:szCs w:val="22"/>
        </w:rPr>
        <w:t xml:space="preserve">changes </w:t>
      </w:r>
      <w:r w:rsidR="00683876" w:rsidRPr="00673904">
        <w:rPr>
          <w:rFonts w:ascii="Times New Roman" w:hAnsi="Times New Roman" w:cs="Times New Roman"/>
          <w:sz w:val="22"/>
          <w:szCs w:val="22"/>
        </w:rPr>
        <w:t>(</w:t>
      </w:r>
      <w:r w:rsidR="00A55C23">
        <w:rPr>
          <w:rFonts w:ascii="Times New Roman" w:hAnsi="Times New Roman" w:cs="Times New Roman"/>
          <w:sz w:val="22"/>
          <w:szCs w:val="22"/>
        </w:rPr>
        <w:t xml:space="preserve">in </w:t>
      </w:r>
      <w:r w:rsidR="00683876" w:rsidRPr="00673904">
        <w:rPr>
          <w:rFonts w:ascii="Times New Roman" w:hAnsi="Times New Roman" w:cs="Times New Roman"/>
          <w:sz w:val="22"/>
          <w:szCs w:val="22"/>
        </w:rPr>
        <w:t>hPa) between two periods (</w:t>
      </w:r>
      <w:r w:rsidR="00A55C23">
        <w:rPr>
          <w:rFonts w:ascii="Times New Roman" w:hAnsi="Times New Roman" w:cs="Times New Roman"/>
          <w:sz w:val="22"/>
          <w:szCs w:val="22"/>
        </w:rPr>
        <w:t>1989-2012 minus</w:t>
      </w:r>
      <w:r w:rsidR="00683876" w:rsidRPr="00673904">
        <w:rPr>
          <w:rFonts w:ascii="Times New Roman" w:hAnsi="Times New Roman" w:cs="Times New Roman"/>
          <w:sz w:val="22"/>
          <w:szCs w:val="22"/>
        </w:rPr>
        <w:t xml:space="preserve"> </w:t>
      </w:r>
      <w:r w:rsidR="00A55C23">
        <w:rPr>
          <w:rFonts w:ascii="Times New Roman" w:hAnsi="Times New Roman" w:cs="Times New Roman"/>
          <w:sz w:val="22"/>
          <w:szCs w:val="22"/>
        </w:rPr>
        <w:t>1950-1988</w:t>
      </w:r>
      <w:r w:rsidR="00683876" w:rsidRPr="00673904">
        <w:rPr>
          <w:rFonts w:ascii="Times New Roman" w:hAnsi="Times New Roman" w:cs="Times New Roman"/>
          <w:sz w:val="22"/>
          <w:szCs w:val="22"/>
        </w:rPr>
        <w:t xml:space="preserve">), calculated with monthly data </w:t>
      </w:r>
      <w:r w:rsidR="001377A8">
        <w:rPr>
          <w:rFonts w:ascii="Times New Roman" w:hAnsi="Times New Roman" w:cs="Times New Roman"/>
          <w:sz w:val="22"/>
          <w:szCs w:val="22"/>
        </w:rPr>
        <w:t xml:space="preserve">(all months) </w:t>
      </w:r>
      <w:r w:rsidR="00683876" w:rsidRPr="00673904">
        <w:rPr>
          <w:rFonts w:ascii="Times New Roman" w:hAnsi="Times New Roman" w:cs="Times New Roman"/>
          <w:sz w:val="22"/>
          <w:szCs w:val="22"/>
        </w:rPr>
        <w:t>that have been smoothed with 11-month rolling means. Negative (positive) values indicate decreasing (increasing) variability after 1988/</w:t>
      </w:r>
      <w:r w:rsidR="00032692">
        <w:rPr>
          <w:rFonts w:ascii="Times New Roman" w:hAnsi="Times New Roman" w:cs="Times New Roman"/>
          <w:sz w:val="22"/>
          <w:szCs w:val="22"/>
        </w:rPr>
        <w:t>19</w:t>
      </w:r>
      <w:r w:rsidR="00683876" w:rsidRPr="00673904">
        <w:rPr>
          <w:rFonts w:ascii="Times New Roman" w:hAnsi="Times New Roman" w:cs="Times New Roman"/>
          <w:sz w:val="22"/>
          <w:szCs w:val="22"/>
        </w:rPr>
        <w:t>89. Calculation of changing SLPa dynamics associated with the Aleutian Low (Figs. 2, 3a) was based SLPa values for the area of strongest decline</w:t>
      </w:r>
      <w:r w:rsidR="00032692">
        <w:rPr>
          <w:rFonts w:ascii="Times New Roman" w:hAnsi="Times New Roman" w:cs="Times New Roman"/>
          <w:sz w:val="22"/>
          <w:szCs w:val="22"/>
        </w:rPr>
        <w:t>,</w:t>
      </w:r>
      <w:r w:rsidR="00683876" w:rsidRPr="00673904">
        <w:rPr>
          <w:rFonts w:ascii="Times New Roman" w:hAnsi="Times New Roman" w:cs="Times New Roman"/>
          <w:sz w:val="22"/>
          <w:szCs w:val="22"/>
        </w:rPr>
        <w:t xml:space="preserve"> outlined by the magenta box</w:t>
      </w:r>
      <w:r w:rsidR="001377A8">
        <w:rPr>
          <w:rFonts w:ascii="Times New Roman" w:hAnsi="Times New Roman" w:cs="Times New Roman"/>
          <w:sz w:val="22"/>
          <w:szCs w:val="22"/>
        </w:rPr>
        <w:t xml:space="preserve"> </w:t>
      </w:r>
      <w:r w:rsidR="00E634B0">
        <w:rPr>
          <w:rFonts w:ascii="Times New Roman" w:hAnsi="Times New Roman" w:cs="Times New Roman"/>
          <w:sz w:val="22"/>
          <w:szCs w:val="22"/>
        </w:rPr>
        <w:t>(47º-57ºN, 153º-169ºW</w:t>
      </w:r>
      <w:r w:rsidR="00295384">
        <w:rPr>
          <w:rFonts w:ascii="Times New Roman" w:hAnsi="Times New Roman" w:cs="Times New Roman"/>
          <w:sz w:val="22"/>
          <w:szCs w:val="22"/>
        </w:rPr>
        <w:t>)</w:t>
      </w:r>
      <w:r w:rsidR="00683876" w:rsidRPr="00673904">
        <w:rPr>
          <w:rFonts w:ascii="Times New Roman" w:hAnsi="Times New Roman" w:cs="Times New Roman"/>
          <w:sz w:val="22"/>
          <w:szCs w:val="22"/>
        </w:rPr>
        <w:t>.</w:t>
      </w:r>
    </w:p>
    <w:p w14:paraId="5E508AA0" w14:textId="77777777" w:rsidR="00BA0208" w:rsidRPr="00673904" w:rsidRDefault="00BA0208" w:rsidP="00A13BA5">
      <w:pPr>
        <w:widowControl w:val="0"/>
        <w:autoSpaceDE w:val="0"/>
        <w:autoSpaceDN w:val="0"/>
        <w:adjustRightInd w:val="0"/>
        <w:spacing w:line="360" w:lineRule="auto"/>
        <w:ind w:left="640" w:hanging="640"/>
        <w:rPr>
          <w:rFonts w:ascii="Times New Roman" w:hAnsi="Times New Roman" w:cs="Times New Roman"/>
          <w:sz w:val="22"/>
          <w:szCs w:val="22"/>
        </w:rPr>
      </w:pPr>
    </w:p>
    <w:p w14:paraId="52E2FAFC" w14:textId="77777777" w:rsidR="00D31070" w:rsidRPr="00673904" w:rsidRDefault="00D31070" w:rsidP="00A13BA5">
      <w:pPr>
        <w:spacing w:line="360" w:lineRule="auto"/>
        <w:rPr>
          <w:rFonts w:ascii="Times New Roman" w:hAnsi="Times New Roman" w:cs="Times New Roman"/>
          <w:b/>
          <w:sz w:val="22"/>
          <w:szCs w:val="22"/>
        </w:rPr>
      </w:pPr>
      <w:r w:rsidRPr="00673904">
        <w:rPr>
          <w:rFonts w:ascii="Times New Roman" w:hAnsi="Times New Roman" w:cs="Times New Roman"/>
          <w:b/>
          <w:sz w:val="22"/>
          <w:szCs w:val="22"/>
        </w:rPr>
        <w:br w:type="page"/>
      </w:r>
    </w:p>
    <w:p w14:paraId="68C36DBC" w14:textId="77777777" w:rsidR="00BA0208" w:rsidRPr="00673904" w:rsidRDefault="00263E77" w:rsidP="00A13BA5">
      <w:pPr>
        <w:widowControl w:val="0"/>
        <w:autoSpaceDE w:val="0"/>
        <w:autoSpaceDN w:val="0"/>
        <w:adjustRightInd w:val="0"/>
        <w:spacing w:line="360" w:lineRule="auto"/>
        <w:ind w:left="640" w:hanging="640"/>
        <w:rPr>
          <w:rFonts w:ascii="Times New Roman" w:hAnsi="Times New Roman" w:cs="Times New Roman"/>
          <w:b/>
          <w:sz w:val="22"/>
          <w:szCs w:val="22"/>
        </w:rPr>
      </w:pPr>
      <w:r w:rsidRPr="00673904">
        <w:rPr>
          <w:rFonts w:ascii="Times New Roman" w:hAnsi="Times New Roman" w:cs="Times New Roman"/>
          <w:b/>
          <w:sz w:val="22"/>
          <w:szCs w:val="22"/>
        </w:rPr>
        <w:lastRenderedPageBreak/>
        <w:t>References</w:t>
      </w:r>
    </w:p>
    <w:p w14:paraId="2C55BD7C" w14:textId="77777777" w:rsidR="00FE6E8C" w:rsidRPr="00FE6E8C" w:rsidRDefault="00BA0208" w:rsidP="00032692">
      <w:pPr>
        <w:widowControl w:val="0"/>
        <w:autoSpaceDE w:val="0"/>
        <w:autoSpaceDN w:val="0"/>
        <w:adjustRightInd w:val="0"/>
        <w:ind w:left="634" w:hanging="634"/>
        <w:rPr>
          <w:rFonts w:ascii="Times New Roman" w:hAnsi="Times New Roman" w:cs="Times New Roman"/>
          <w:noProof/>
          <w:sz w:val="22"/>
        </w:rPr>
      </w:pPr>
      <w:r w:rsidRPr="00673904">
        <w:rPr>
          <w:rFonts w:ascii="Times New Roman" w:hAnsi="Times New Roman" w:cs="Times New Roman"/>
          <w:sz w:val="22"/>
          <w:szCs w:val="22"/>
        </w:rPr>
        <w:fldChar w:fldCharType="begin" w:fldLock="1"/>
      </w:r>
      <w:r w:rsidRPr="00673904">
        <w:rPr>
          <w:rFonts w:ascii="Times New Roman" w:hAnsi="Times New Roman" w:cs="Times New Roman"/>
          <w:sz w:val="22"/>
          <w:szCs w:val="22"/>
        </w:rPr>
        <w:instrText xml:space="preserve">ADDIN Mendeley Bibliography CSL_BIBLIOGRAPHY </w:instrText>
      </w:r>
      <w:r w:rsidRPr="00673904">
        <w:rPr>
          <w:rFonts w:ascii="Times New Roman" w:hAnsi="Times New Roman" w:cs="Times New Roman"/>
          <w:sz w:val="22"/>
          <w:szCs w:val="22"/>
        </w:rPr>
        <w:fldChar w:fldCharType="separate"/>
      </w:r>
      <w:r w:rsidR="00FE6E8C" w:rsidRPr="00FE6E8C">
        <w:rPr>
          <w:rFonts w:ascii="Times New Roman" w:hAnsi="Times New Roman" w:cs="Times New Roman"/>
          <w:noProof/>
          <w:sz w:val="22"/>
        </w:rPr>
        <w:t>1.</w:t>
      </w:r>
      <w:r w:rsidR="00FE6E8C" w:rsidRPr="00FE6E8C">
        <w:rPr>
          <w:rFonts w:ascii="Times New Roman" w:hAnsi="Times New Roman" w:cs="Times New Roman"/>
          <w:noProof/>
          <w:sz w:val="22"/>
        </w:rPr>
        <w:tab/>
        <w:t xml:space="preserve">Mueter FJ, Ware DM, Peterman RM. 2002 Spatial correlation patterns in coastal environmental variables and survival rates of salmon in the north-east Pacific Ocean. </w:t>
      </w:r>
      <w:r w:rsidR="00FE6E8C" w:rsidRPr="00FE6E8C">
        <w:rPr>
          <w:rFonts w:ascii="Times New Roman" w:hAnsi="Times New Roman" w:cs="Times New Roman"/>
          <w:i/>
          <w:iCs/>
          <w:noProof/>
          <w:sz w:val="22"/>
        </w:rPr>
        <w:t>Fish. Oceanogr.</w:t>
      </w:r>
      <w:r w:rsidR="00FE6E8C" w:rsidRPr="00FE6E8C">
        <w:rPr>
          <w:rFonts w:ascii="Times New Roman" w:hAnsi="Times New Roman" w:cs="Times New Roman"/>
          <w:noProof/>
          <w:sz w:val="22"/>
        </w:rPr>
        <w:t xml:space="preserve"> </w:t>
      </w:r>
      <w:r w:rsidR="00FE6E8C" w:rsidRPr="00FE6E8C">
        <w:rPr>
          <w:rFonts w:ascii="Times New Roman" w:hAnsi="Times New Roman" w:cs="Times New Roman"/>
          <w:b/>
          <w:bCs/>
          <w:noProof/>
          <w:sz w:val="22"/>
        </w:rPr>
        <w:t>11</w:t>
      </w:r>
      <w:r w:rsidR="00FE6E8C" w:rsidRPr="00FE6E8C">
        <w:rPr>
          <w:rFonts w:ascii="Times New Roman" w:hAnsi="Times New Roman" w:cs="Times New Roman"/>
          <w:noProof/>
          <w:sz w:val="22"/>
        </w:rPr>
        <w:t>, 205–218. (doi:10.1046/j.1365-2419.2002.00192.x)</w:t>
      </w:r>
    </w:p>
    <w:p w14:paraId="7052FF02" w14:textId="77777777" w:rsidR="00FE6E8C" w:rsidRPr="00FE6E8C" w:rsidRDefault="00FE6E8C" w:rsidP="00032692">
      <w:pPr>
        <w:widowControl w:val="0"/>
        <w:autoSpaceDE w:val="0"/>
        <w:autoSpaceDN w:val="0"/>
        <w:adjustRightInd w:val="0"/>
        <w:ind w:left="634" w:hanging="634"/>
        <w:rPr>
          <w:rFonts w:ascii="Times New Roman" w:hAnsi="Times New Roman" w:cs="Times New Roman"/>
          <w:noProof/>
          <w:sz w:val="22"/>
        </w:rPr>
      </w:pPr>
      <w:r w:rsidRPr="00FE6E8C">
        <w:rPr>
          <w:rFonts w:ascii="Times New Roman" w:hAnsi="Times New Roman" w:cs="Times New Roman"/>
          <w:noProof/>
          <w:sz w:val="22"/>
        </w:rPr>
        <w:t>2.</w:t>
      </w:r>
      <w:r w:rsidRPr="00FE6E8C">
        <w:rPr>
          <w:rFonts w:ascii="Times New Roman" w:hAnsi="Times New Roman" w:cs="Times New Roman"/>
          <w:noProof/>
          <w:sz w:val="22"/>
        </w:rPr>
        <w:tab/>
        <w:t xml:space="preserve">Yeh SW, Kang YJ, Noh Y, Miller AJ. 2011 The North Pacific climate transitions of the winters of 1976/77 and 1988/89. </w:t>
      </w:r>
      <w:r w:rsidRPr="00FE6E8C">
        <w:rPr>
          <w:rFonts w:ascii="Times New Roman" w:hAnsi="Times New Roman" w:cs="Times New Roman"/>
          <w:i/>
          <w:iCs/>
          <w:noProof/>
          <w:sz w:val="22"/>
        </w:rPr>
        <w:t>J. Clim.</w:t>
      </w:r>
      <w:r w:rsidRPr="00FE6E8C">
        <w:rPr>
          <w:rFonts w:ascii="Times New Roman" w:hAnsi="Times New Roman" w:cs="Times New Roman"/>
          <w:noProof/>
          <w:sz w:val="22"/>
        </w:rPr>
        <w:t xml:space="preserve"> </w:t>
      </w:r>
      <w:r w:rsidRPr="00FE6E8C">
        <w:rPr>
          <w:rFonts w:ascii="Times New Roman" w:hAnsi="Times New Roman" w:cs="Times New Roman"/>
          <w:b/>
          <w:bCs/>
          <w:noProof/>
          <w:sz w:val="22"/>
        </w:rPr>
        <w:t>24</w:t>
      </w:r>
      <w:r w:rsidRPr="00FE6E8C">
        <w:rPr>
          <w:rFonts w:ascii="Times New Roman" w:hAnsi="Times New Roman" w:cs="Times New Roman"/>
          <w:noProof/>
          <w:sz w:val="22"/>
        </w:rPr>
        <w:t>, 1170–1183. (doi:10.1175/2010jcli3325.1)</w:t>
      </w:r>
    </w:p>
    <w:p w14:paraId="3B0DDC13" w14:textId="77777777" w:rsidR="00FE6E8C" w:rsidRPr="00FE6E8C" w:rsidRDefault="00FE6E8C" w:rsidP="00032692">
      <w:pPr>
        <w:widowControl w:val="0"/>
        <w:autoSpaceDE w:val="0"/>
        <w:autoSpaceDN w:val="0"/>
        <w:adjustRightInd w:val="0"/>
        <w:ind w:left="634" w:hanging="634"/>
        <w:rPr>
          <w:rFonts w:ascii="Times New Roman" w:hAnsi="Times New Roman" w:cs="Times New Roman"/>
          <w:noProof/>
          <w:sz w:val="22"/>
        </w:rPr>
      </w:pPr>
      <w:r w:rsidRPr="00FE6E8C">
        <w:rPr>
          <w:rFonts w:ascii="Times New Roman" w:hAnsi="Times New Roman" w:cs="Times New Roman"/>
          <w:noProof/>
          <w:sz w:val="22"/>
        </w:rPr>
        <w:t>3.</w:t>
      </w:r>
      <w:r w:rsidRPr="00FE6E8C">
        <w:rPr>
          <w:rFonts w:ascii="Times New Roman" w:hAnsi="Times New Roman" w:cs="Times New Roman"/>
          <w:noProof/>
          <w:sz w:val="22"/>
        </w:rPr>
        <w:tab/>
        <w:t xml:space="preserve">Mantua NJ, Hare SR, Zhang Y, Wallace JM, Francis RC. 1997 A Pacific interdecadal climate oscillation with impacts on salmon production. </w:t>
      </w:r>
      <w:r w:rsidRPr="00FE6E8C">
        <w:rPr>
          <w:rFonts w:ascii="Times New Roman" w:hAnsi="Times New Roman" w:cs="Times New Roman"/>
          <w:i/>
          <w:iCs/>
          <w:noProof/>
          <w:sz w:val="22"/>
        </w:rPr>
        <w:t>Bull. Am. Meteorol. Soc.</w:t>
      </w:r>
      <w:r w:rsidRPr="00FE6E8C">
        <w:rPr>
          <w:rFonts w:ascii="Times New Roman" w:hAnsi="Times New Roman" w:cs="Times New Roman"/>
          <w:noProof/>
          <w:sz w:val="22"/>
        </w:rPr>
        <w:t xml:space="preserve"> </w:t>
      </w:r>
      <w:r w:rsidRPr="00FE6E8C">
        <w:rPr>
          <w:rFonts w:ascii="Times New Roman" w:hAnsi="Times New Roman" w:cs="Times New Roman"/>
          <w:b/>
          <w:bCs/>
          <w:noProof/>
          <w:sz w:val="22"/>
        </w:rPr>
        <w:t>78</w:t>
      </w:r>
      <w:r w:rsidRPr="00FE6E8C">
        <w:rPr>
          <w:rFonts w:ascii="Times New Roman" w:hAnsi="Times New Roman" w:cs="Times New Roman"/>
          <w:noProof/>
          <w:sz w:val="22"/>
        </w:rPr>
        <w:t>, 1069–1079. (doi:10.1175/1520-0477(1997)078&lt;1069:apicow&gt;2.0.co;2)</w:t>
      </w:r>
    </w:p>
    <w:p w14:paraId="1DC0918E" w14:textId="77777777" w:rsidR="00FE6E8C" w:rsidRPr="00FE6E8C" w:rsidRDefault="00FE6E8C" w:rsidP="00032692">
      <w:pPr>
        <w:widowControl w:val="0"/>
        <w:autoSpaceDE w:val="0"/>
        <w:autoSpaceDN w:val="0"/>
        <w:adjustRightInd w:val="0"/>
        <w:ind w:left="634" w:hanging="634"/>
        <w:rPr>
          <w:rFonts w:ascii="Times New Roman" w:hAnsi="Times New Roman" w:cs="Times New Roman"/>
          <w:noProof/>
          <w:sz w:val="22"/>
        </w:rPr>
      </w:pPr>
      <w:r w:rsidRPr="00FE6E8C">
        <w:rPr>
          <w:rFonts w:ascii="Times New Roman" w:hAnsi="Times New Roman" w:cs="Times New Roman"/>
          <w:noProof/>
          <w:sz w:val="22"/>
        </w:rPr>
        <w:t>4.</w:t>
      </w:r>
      <w:r w:rsidRPr="00FE6E8C">
        <w:rPr>
          <w:rFonts w:ascii="Times New Roman" w:hAnsi="Times New Roman" w:cs="Times New Roman"/>
          <w:noProof/>
          <w:sz w:val="22"/>
        </w:rPr>
        <w:tab/>
        <w:t xml:space="preserve">Di Lorenzo E </w:t>
      </w:r>
      <w:r w:rsidRPr="00FE6E8C">
        <w:rPr>
          <w:rFonts w:ascii="Times New Roman" w:hAnsi="Times New Roman" w:cs="Times New Roman"/>
          <w:i/>
          <w:iCs/>
          <w:noProof/>
          <w:sz w:val="22"/>
        </w:rPr>
        <w:t>et al.</w:t>
      </w:r>
      <w:r w:rsidRPr="00FE6E8C">
        <w:rPr>
          <w:rFonts w:ascii="Times New Roman" w:hAnsi="Times New Roman" w:cs="Times New Roman"/>
          <w:noProof/>
          <w:sz w:val="22"/>
        </w:rPr>
        <w:t xml:space="preserve"> 2008 North Pacific Gyre Oscillation links ocean climate and ecosystem change. </w:t>
      </w:r>
      <w:r w:rsidRPr="00FE6E8C">
        <w:rPr>
          <w:rFonts w:ascii="Times New Roman" w:hAnsi="Times New Roman" w:cs="Times New Roman"/>
          <w:i/>
          <w:iCs/>
          <w:noProof/>
          <w:sz w:val="22"/>
        </w:rPr>
        <w:t>Geophys. Res. Lett.</w:t>
      </w:r>
      <w:r w:rsidRPr="00FE6E8C">
        <w:rPr>
          <w:rFonts w:ascii="Times New Roman" w:hAnsi="Times New Roman" w:cs="Times New Roman"/>
          <w:noProof/>
          <w:sz w:val="22"/>
        </w:rPr>
        <w:t xml:space="preserve"> </w:t>
      </w:r>
      <w:r w:rsidRPr="00FE6E8C">
        <w:rPr>
          <w:rFonts w:ascii="Times New Roman" w:hAnsi="Times New Roman" w:cs="Times New Roman"/>
          <w:b/>
          <w:bCs/>
          <w:noProof/>
          <w:sz w:val="22"/>
        </w:rPr>
        <w:t>32</w:t>
      </w:r>
      <w:r w:rsidRPr="00FE6E8C">
        <w:rPr>
          <w:rFonts w:ascii="Times New Roman" w:hAnsi="Times New Roman" w:cs="Times New Roman"/>
          <w:noProof/>
          <w:sz w:val="22"/>
        </w:rPr>
        <w:t>, L08607.</w:t>
      </w:r>
    </w:p>
    <w:p w14:paraId="7F9CC774" w14:textId="77777777" w:rsidR="00FE6E8C" w:rsidRPr="00FE6E8C" w:rsidRDefault="00FE6E8C" w:rsidP="00032692">
      <w:pPr>
        <w:widowControl w:val="0"/>
        <w:autoSpaceDE w:val="0"/>
        <w:autoSpaceDN w:val="0"/>
        <w:adjustRightInd w:val="0"/>
        <w:ind w:left="634" w:hanging="634"/>
        <w:rPr>
          <w:rFonts w:ascii="Times New Roman" w:hAnsi="Times New Roman" w:cs="Times New Roman"/>
          <w:noProof/>
          <w:sz w:val="22"/>
        </w:rPr>
      </w:pPr>
      <w:r w:rsidRPr="00FE6E8C">
        <w:rPr>
          <w:rFonts w:ascii="Times New Roman" w:hAnsi="Times New Roman" w:cs="Times New Roman"/>
          <w:noProof/>
          <w:sz w:val="22"/>
        </w:rPr>
        <w:t>5.</w:t>
      </w:r>
      <w:r w:rsidRPr="00FE6E8C">
        <w:rPr>
          <w:rFonts w:ascii="Times New Roman" w:hAnsi="Times New Roman" w:cs="Times New Roman"/>
          <w:noProof/>
          <w:sz w:val="22"/>
        </w:rPr>
        <w:tab/>
        <w:t xml:space="preserve">Newman M </w:t>
      </w:r>
      <w:r w:rsidRPr="00FE6E8C">
        <w:rPr>
          <w:rFonts w:ascii="Times New Roman" w:hAnsi="Times New Roman" w:cs="Times New Roman"/>
          <w:i/>
          <w:iCs/>
          <w:noProof/>
          <w:sz w:val="22"/>
        </w:rPr>
        <w:t>et al.</w:t>
      </w:r>
      <w:r w:rsidRPr="00FE6E8C">
        <w:rPr>
          <w:rFonts w:ascii="Times New Roman" w:hAnsi="Times New Roman" w:cs="Times New Roman"/>
          <w:noProof/>
          <w:sz w:val="22"/>
        </w:rPr>
        <w:t xml:space="preserve"> 2016 The Pacific Decadal Oscillation, revisited. </w:t>
      </w:r>
      <w:r w:rsidRPr="00FE6E8C">
        <w:rPr>
          <w:rFonts w:ascii="Times New Roman" w:hAnsi="Times New Roman" w:cs="Times New Roman"/>
          <w:i/>
          <w:iCs/>
          <w:noProof/>
          <w:sz w:val="22"/>
        </w:rPr>
        <w:t>J. Clim.</w:t>
      </w:r>
      <w:r w:rsidRPr="00FE6E8C">
        <w:rPr>
          <w:rFonts w:ascii="Times New Roman" w:hAnsi="Times New Roman" w:cs="Times New Roman"/>
          <w:noProof/>
          <w:sz w:val="22"/>
        </w:rPr>
        <w:t xml:space="preserve"> </w:t>
      </w:r>
      <w:r w:rsidRPr="00FE6E8C">
        <w:rPr>
          <w:rFonts w:ascii="Times New Roman" w:hAnsi="Times New Roman" w:cs="Times New Roman"/>
          <w:b/>
          <w:bCs/>
          <w:noProof/>
          <w:sz w:val="22"/>
        </w:rPr>
        <w:t>29</w:t>
      </w:r>
      <w:r w:rsidRPr="00FE6E8C">
        <w:rPr>
          <w:rFonts w:ascii="Times New Roman" w:hAnsi="Times New Roman" w:cs="Times New Roman"/>
          <w:noProof/>
          <w:sz w:val="22"/>
        </w:rPr>
        <w:t>, 4399–4427. (doi:10.1175/JCLI-D-15-0508.1)</w:t>
      </w:r>
    </w:p>
    <w:p w14:paraId="3C9CA94C" w14:textId="77777777" w:rsidR="00FE6E8C" w:rsidRPr="00FE6E8C" w:rsidRDefault="00FE6E8C" w:rsidP="00032692">
      <w:pPr>
        <w:widowControl w:val="0"/>
        <w:autoSpaceDE w:val="0"/>
        <w:autoSpaceDN w:val="0"/>
        <w:adjustRightInd w:val="0"/>
        <w:ind w:left="634" w:hanging="634"/>
        <w:rPr>
          <w:rFonts w:ascii="Times New Roman" w:hAnsi="Times New Roman" w:cs="Times New Roman"/>
          <w:noProof/>
          <w:sz w:val="22"/>
        </w:rPr>
      </w:pPr>
      <w:r w:rsidRPr="00FE6E8C">
        <w:rPr>
          <w:rFonts w:ascii="Times New Roman" w:hAnsi="Times New Roman" w:cs="Times New Roman"/>
          <w:noProof/>
          <w:sz w:val="22"/>
        </w:rPr>
        <w:t>6.</w:t>
      </w:r>
      <w:r w:rsidRPr="00FE6E8C">
        <w:rPr>
          <w:rFonts w:ascii="Times New Roman" w:hAnsi="Times New Roman" w:cs="Times New Roman"/>
          <w:noProof/>
          <w:sz w:val="22"/>
        </w:rPr>
        <w:tab/>
        <w:t xml:space="preserve">Pinheiro JC, Bates DM. 2000 </w:t>
      </w:r>
      <w:r w:rsidRPr="00FE6E8C">
        <w:rPr>
          <w:rFonts w:ascii="Times New Roman" w:hAnsi="Times New Roman" w:cs="Times New Roman"/>
          <w:i/>
          <w:iCs/>
          <w:noProof/>
          <w:sz w:val="22"/>
        </w:rPr>
        <w:t>Mixed-Effects Models in S and S-PLUS</w:t>
      </w:r>
      <w:r w:rsidRPr="00FE6E8C">
        <w:rPr>
          <w:rFonts w:ascii="Times New Roman" w:hAnsi="Times New Roman" w:cs="Times New Roman"/>
          <w:noProof/>
          <w:sz w:val="22"/>
        </w:rPr>
        <w:t xml:space="preserve">. New York: Springer. </w:t>
      </w:r>
    </w:p>
    <w:p w14:paraId="6117A1B3" w14:textId="77777777" w:rsidR="00FE6E8C" w:rsidRPr="00FE6E8C" w:rsidRDefault="00FE6E8C" w:rsidP="00032692">
      <w:pPr>
        <w:widowControl w:val="0"/>
        <w:autoSpaceDE w:val="0"/>
        <w:autoSpaceDN w:val="0"/>
        <w:adjustRightInd w:val="0"/>
        <w:ind w:left="634" w:hanging="634"/>
        <w:rPr>
          <w:rFonts w:ascii="Times New Roman" w:hAnsi="Times New Roman" w:cs="Times New Roman"/>
          <w:noProof/>
          <w:sz w:val="22"/>
        </w:rPr>
      </w:pPr>
      <w:r w:rsidRPr="00FE6E8C">
        <w:rPr>
          <w:rFonts w:ascii="Times New Roman" w:hAnsi="Times New Roman" w:cs="Times New Roman"/>
          <w:noProof/>
          <w:sz w:val="22"/>
        </w:rPr>
        <w:t>7.</w:t>
      </w:r>
      <w:r w:rsidRPr="00FE6E8C">
        <w:rPr>
          <w:rFonts w:ascii="Times New Roman" w:hAnsi="Times New Roman" w:cs="Times New Roman"/>
          <w:noProof/>
          <w:sz w:val="22"/>
        </w:rPr>
        <w:tab/>
        <w:t xml:space="preserve">Trenberth KE, Hurrell JW. 1994 Decadal atmosphere-ocean variations in the Pacific. </w:t>
      </w:r>
      <w:r w:rsidRPr="00FE6E8C">
        <w:rPr>
          <w:rFonts w:ascii="Times New Roman" w:hAnsi="Times New Roman" w:cs="Times New Roman"/>
          <w:i/>
          <w:iCs/>
          <w:noProof/>
          <w:sz w:val="22"/>
        </w:rPr>
        <w:t>Clim. Dyn.</w:t>
      </w:r>
      <w:r w:rsidRPr="00FE6E8C">
        <w:rPr>
          <w:rFonts w:ascii="Times New Roman" w:hAnsi="Times New Roman" w:cs="Times New Roman"/>
          <w:noProof/>
          <w:sz w:val="22"/>
        </w:rPr>
        <w:t xml:space="preserve"> </w:t>
      </w:r>
      <w:r w:rsidRPr="00FE6E8C">
        <w:rPr>
          <w:rFonts w:ascii="Times New Roman" w:hAnsi="Times New Roman" w:cs="Times New Roman"/>
          <w:b/>
          <w:bCs/>
          <w:noProof/>
          <w:sz w:val="22"/>
        </w:rPr>
        <w:t>9</w:t>
      </w:r>
      <w:r w:rsidRPr="00FE6E8C">
        <w:rPr>
          <w:rFonts w:ascii="Times New Roman" w:hAnsi="Times New Roman" w:cs="Times New Roman"/>
          <w:noProof/>
          <w:sz w:val="22"/>
        </w:rPr>
        <w:t>, 303–319. (doi:10.1007/bf00204745)</w:t>
      </w:r>
    </w:p>
    <w:p w14:paraId="62A328BE" w14:textId="77777777" w:rsidR="00FE6E8C" w:rsidRPr="00FE6E8C" w:rsidRDefault="00FE6E8C" w:rsidP="00032692">
      <w:pPr>
        <w:widowControl w:val="0"/>
        <w:autoSpaceDE w:val="0"/>
        <w:autoSpaceDN w:val="0"/>
        <w:adjustRightInd w:val="0"/>
        <w:ind w:left="634" w:hanging="634"/>
        <w:rPr>
          <w:rFonts w:ascii="Times New Roman" w:hAnsi="Times New Roman" w:cs="Times New Roman"/>
          <w:noProof/>
          <w:sz w:val="22"/>
        </w:rPr>
      </w:pPr>
      <w:r w:rsidRPr="00FE6E8C">
        <w:rPr>
          <w:rFonts w:ascii="Times New Roman" w:hAnsi="Times New Roman" w:cs="Times New Roman"/>
          <w:noProof/>
          <w:sz w:val="22"/>
        </w:rPr>
        <w:t>8.</w:t>
      </w:r>
      <w:r w:rsidRPr="00FE6E8C">
        <w:rPr>
          <w:rFonts w:ascii="Times New Roman" w:hAnsi="Times New Roman" w:cs="Times New Roman"/>
          <w:noProof/>
          <w:sz w:val="22"/>
        </w:rPr>
        <w:tab/>
        <w:t xml:space="preserve">Di Lorenzo E, Ohman MD. 2013 A double-integration hypothesis to explain ocean ecosystem response to climate forcing. </w:t>
      </w:r>
      <w:r w:rsidRPr="00FE6E8C">
        <w:rPr>
          <w:rFonts w:ascii="Times New Roman" w:hAnsi="Times New Roman" w:cs="Times New Roman"/>
          <w:i/>
          <w:iCs/>
          <w:noProof/>
          <w:sz w:val="22"/>
        </w:rPr>
        <w:t>Proc. Natl. Acad. Sci.</w:t>
      </w:r>
      <w:r w:rsidRPr="00FE6E8C">
        <w:rPr>
          <w:rFonts w:ascii="Times New Roman" w:hAnsi="Times New Roman" w:cs="Times New Roman"/>
          <w:noProof/>
          <w:sz w:val="22"/>
        </w:rPr>
        <w:t xml:space="preserve"> </w:t>
      </w:r>
      <w:r w:rsidRPr="00FE6E8C">
        <w:rPr>
          <w:rFonts w:ascii="Times New Roman" w:hAnsi="Times New Roman" w:cs="Times New Roman"/>
          <w:b/>
          <w:bCs/>
          <w:noProof/>
          <w:sz w:val="22"/>
        </w:rPr>
        <w:t>110</w:t>
      </w:r>
      <w:r w:rsidRPr="00FE6E8C">
        <w:rPr>
          <w:rFonts w:ascii="Times New Roman" w:hAnsi="Times New Roman" w:cs="Times New Roman"/>
          <w:noProof/>
          <w:sz w:val="22"/>
        </w:rPr>
        <w:t>, 2496–2499.</w:t>
      </w:r>
    </w:p>
    <w:p w14:paraId="285EDD43" w14:textId="77777777" w:rsidR="00FE6E8C" w:rsidRPr="00FE6E8C" w:rsidRDefault="00FE6E8C" w:rsidP="00032692">
      <w:pPr>
        <w:widowControl w:val="0"/>
        <w:autoSpaceDE w:val="0"/>
        <w:autoSpaceDN w:val="0"/>
        <w:adjustRightInd w:val="0"/>
        <w:ind w:left="634" w:hanging="634"/>
        <w:rPr>
          <w:rFonts w:ascii="Times New Roman" w:hAnsi="Times New Roman" w:cs="Times New Roman"/>
          <w:noProof/>
          <w:sz w:val="22"/>
        </w:rPr>
      </w:pPr>
      <w:r w:rsidRPr="00FE6E8C">
        <w:rPr>
          <w:rFonts w:ascii="Times New Roman" w:hAnsi="Times New Roman" w:cs="Times New Roman"/>
          <w:noProof/>
          <w:sz w:val="22"/>
        </w:rPr>
        <w:t>9.</w:t>
      </w:r>
      <w:r w:rsidRPr="00FE6E8C">
        <w:rPr>
          <w:rFonts w:ascii="Times New Roman" w:hAnsi="Times New Roman" w:cs="Times New Roman"/>
          <w:noProof/>
          <w:sz w:val="22"/>
        </w:rPr>
        <w:tab/>
        <w:t xml:space="preserve">Johnstone JA, Mantua N. 2014 Atmospheric controls on northeast Pacific temperature variability and change, 1900-2012. </w:t>
      </w:r>
      <w:r w:rsidRPr="00FE6E8C">
        <w:rPr>
          <w:rFonts w:ascii="Times New Roman" w:hAnsi="Times New Roman" w:cs="Times New Roman"/>
          <w:i/>
          <w:iCs/>
          <w:noProof/>
          <w:sz w:val="22"/>
        </w:rPr>
        <w:t>Proc. Natl. Acad. Sci.</w:t>
      </w:r>
      <w:r w:rsidRPr="00FE6E8C">
        <w:rPr>
          <w:rFonts w:ascii="Times New Roman" w:hAnsi="Times New Roman" w:cs="Times New Roman"/>
          <w:noProof/>
          <w:sz w:val="22"/>
        </w:rPr>
        <w:t xml:space="preserve"> </w:t>
      </w:r>
      <w:r w:rsidRPr="00FE6E8C">
        <w:rPr>
          <w:rFonts w:ascii="Times New Roman" w:hAnsi="Times New Roman" w:cs="Times New Roman"/>
          <w:b/>
          <w:bCs/>
          <w:noProof/>
          <w:sz w:val="22"/>
        </w:rPr>
        <w:t>111</w:t>
      </w:r>
      <w:r w:rsidRPr="00FE6E8C">
        <w:rPr>
          <w:rFonts w:ascii="Times New Roman" w:hAnsi="Times New Roman" w:cs="Times New Roman"/>
          <w:noProof/>
          <w:sz w:val="22"/>
        </w:rPr>
        <w:t>, 14360–14365. (doi:10.1073/pnas.1318371111)</w:t>
      </w:r>
    </w:p>
    <w:p w14:paraId="5A5B1DD1" w14:textId="77777777" w:rsidR="00FE6E8C" w:rsidRPr="00FE6E8C" w:rsidRDefault="00FE6E8C" w:rsidP="00032692">
      <w:pPr>
        <w:widowControl w:val="0"/>
        <w:autoSpaceDE w:val="0"/>
        <w:autoSpaceDN w:val="0"/>
        <w:adjustRightInd w:val="0"/>
        <w:ind w:left="634" w:hanging="634"/>
        <w:rPr>
          <w:rFonts w:ascii="Times New Roman" w:hAnsi="Times New Roman" w:cs="Times New Roman"/>
          <w:noProof/>
          <w:sz w:val="22"/>
        </w:rPr>
      </w:pPr>
      <w:r w:rsidRPr="00FE6E8C">
        <w:rPr>
          <w:rFonts w:ascii="Times New Roman" w:hAnsi="Times New Roman" w:cs="Times New Roman"/>
          <w:noProof/>
          <w:sz w:val="22"/>
        </w:rPr>
        <w:t>10.</w:t>
      </w:r>
      <w:r w:rsidRPr="00FE6E8C">
        <w:rPr>
          <w:rFonts w:ascii="Times New Roman" w:hAnsi="Times New Roman" w:cs="Times New Roman"/>
          <w:noProof/>
          <w:sz w:val="22"/>
        </w:rPr>
        <w:tab/>
        <w:t xml:space="preserve">Mueter FJ, Pyper BJ, Peterman RM. 2005 Relationships between coastal ocean conditions and survival rates of northeast Pacific salmon at multiple lags. </w:t>
      </w:r>
      <w:r w:rsidRPr="00FE6E8C">
        <w:rPr>
          <w:rFonts w:ascii="Times New Roman" w:hAnsi="Times New Roman" w:cs="Times New Roman"/>
          <w:i/>
          <w:iCs/>
          <w:noProof/>
          <w:sz w:val="22"/>
        </w:rPr>
        <w:t>Trans. Am. Fish. Soc.</w:t>
      </w:r>
      <w:r w:rsidRPr="00FE6E8C">
        <w:rPr>
          <w:rFonts w:ascii="Times New Roman" w:hAnsi="Times New Roman" w:cs="Times New Roman"/>
          <w:noProof/>
          <w:sz w:val="22"/>
        </w:rPr>
        <w:t xml:space="preserve"> </w:t>
      </w:r>
      <w:r w:rsidRPr="00FE6E8C">
        <w:rPr>
          <w:rFonts w:ascii="Times New Roman" w:hAnsi="Times New Roman" w:cs="Times New Roman"/>
          <w:b/>
          <w:bCs/>
          <w:noProof/>
          <w:sz w:val="22"/>
        </w:rPr>
        <w:t>134</w:t>
      </w:r>
      <w:r w:rsidRPr="00FE6E8C">
        <w:rPr>
          <w:rFonts w:ascii="Times New Roman" w:hAnsi="Times New Roman" w:cs="Times New Roman"/>
          <w:noProof/>
          <w:sz w:val="22"/>
        </w:rPr>
        <w:t>, 105–119. (doi:10.1577/t-04-033.1)</w:t>
      </w:r>
    </w:p>
    <w:p w14:paraId="7493C9E4" w14:textId="77777777" w:rsidR="00FE6E8C" w:rsidRPr="00FE6E8C" w:rsidRDefault="00FE6E8C" w:rsidP="00032692">
      <w:pPr>
        <w:widowControl w:val="0"/>
        <w:autoSpaceDE w:val="0"/>
        <w:autoSpaceDN w:val="0"/>
        <w:adjustRightInd w:val="0"/>
        <w:ind w:left="634" w:hanging="634"/>
        <w:rPr>
          <w:rFonts w:ascii="Times New Roman" w:hAnsi="Times New Roman" w:cs="Times New Roman"/>
          <w:noProof/>
          <w:sz w:val="22"/>
        </w:rPr>
      </w:pPr>
      <w:r w:rsidRPr="00FE6E8C">
        <w:rPr>
          <w:rFonts w:ascii="Times New Roman" w:hAnsi="Times New Roman" w:cs="Times New Roman"/>
          <w:noProof/>
          <w:sz w:val="22"/>
        </w:rPr>
        <w:t>11.</w:t>
      </w:r>
      <w:r w:rsidRPr="00FE6E8C">
        <w:rPr>
          <w:rFonts w:ascii="Times New Roman" w:hAnsi="Times New Roman" w:cs="Times New Roman"/>
          <w:noProof/>
          <w:sz w:val="22"/>
        </w:rPr>
        <w:tab/>
        <w:t xml:space="preserve">Huang BY </w:t>
      </w:r>
      <w:r w:rsidRPr="00FE6E8C">
        <w:rPr>
          <w:rFonts w:ascii="Times New Roman" w:hAnsi="Times New Roman" w:cs="Times New Roman"/>
          <w:i/>
          <w:iCs/>
          <w:noProof/>
          <w:sz w:val="22"/>
        </w:rPr>
        <w:t>et al.</w:t>
      </w:r>
      <w:r w:rsidRPr="00FE6E8C">
        <w:rPr>
          <w:rFonts w:ascii="Times New Roman" w:hAnsi="Times New Roman" w:cs="Times New Roman"/>
          <w:noProof/>
          <w:sz w:val="22"/>
        </w:rPr>
        <w:t xml:space="preserve"> 2015 Extended Reconstructed Sea Surface Temperature Version 4 (ERSST.v4). Part I: Upgrades and Intercomparisons. </w:t>
      </w:r>
      <w:r w:rsidRPr="00FE6E8C">
        <w:rPr>
          <w:rFonts w:ascii="Times New Roman" w:hAnsi="Times New Roman" w:cs="Times New Roman"/>
          <w:i/>
          <w:iCs/>
          <w:noProof/>
          <w:sz w:val="22"/>
        </w:rPr>
        <w:t>J. Clim.</w:t>
      </w:r>
      <w:r w:rsidRPr="00FE6E8C">
        <w:rPr>
          <w:rFonts w:ascii="Times New Roman" w:hAnsi="Times New Roman" w:cs="Times New Roman"/>
          <w:noProof/>
          <w:sz w:val="22"/>
        </w:rPr>
        <w:t xml:space="preserve"> </w:t>
      </w:r>
      <w:r w:rsidRPr="00FE6E8C">
        <w:rPr>
          <w:rFonts w:ascii="Times New Roman" w:hAnsi="Times New Roman" w:cs="Times New Roman"/>
          <w:b/>
          <w:bCs/>
          <w:noProof/>
          <w:sz w:val="22"/>
        </w:rPr>
        <w:t>28</w:t>
      </w:r>
      <w:r w:rsidRPr="00FE6E8C">
        <w:rPr>
          <w:rFonts w:ascii="Times New Roman" w:hAnsi="Times New Roman" w:cs="Times New Roman"/>
          <w:noProof/>
          <w:sz w:val="22"/>
        </w:rPr>
        <w:t>, 911–930. (doi:10.1175/jcli-d-14-00006.1)</w:t>
      </w:r>
    </w:p>
    <w:p w14:paraId="64B53067" w14:textId="77777777" w:rsidR="00FE6E8C" w:rsidRPr="00FE6E8C" w:rsidRDefault="00FE6E8C" w:rsidP="00032692">
      <w:pPr>
        <w:widowControl w:val="0"/>
        <w:autoSpaceDE w:val="0"/>
        <w:autoSpaceDN w:val="0"/>
        <w:adjustRightInd w:val="0"/>
        <w:ind w:left="634" w:hanging="634"/>
        <w:rPr>
          <w:rFonts w:ascii="Times New Roman" w:hAnsi="Times New Roman" w:cs="Times New Roman"/>
          <w:noProof/>
          <w:sz w:val="22"/>
        </w:rPr>
      </w:pPr>
      <w:r w:rsidRPr="00FE6E8C">
        <w:rPr>
          <w:rFonts w:ascii="Times New Roman" w:hAnsi="Times New Roman" w:cs="Times New Roman"/>
          <w:noProof/>
          <w:sz w:val="22"/>
        </w:rPr>
        <w:t>12.</w:t>
      </w:r>
      <w:r w:rsidRPr="00FE6E8C">
        <w:rPr>
          <w:rFonts w:ascii="Times New Roman" w:hAnsi="Times New Roman" w:cs="Times New Roman"/>
          <w:noProof/>
          <w:sz w:val="22"/>
        </w:rPr>
        <w:tab/>
        <w:t xml:space="preserve">Compo GP, Whitaker JS, Sardeshmukh JS. 2006 Feasibility of a 100 year reanalysis using only surface pressure data. </w:t>
      </w:r>
      <w:r w:rsidRPr="00FE6E8C">
        <w:rPr>
          <w:rFonts w:ascii="Times New Roman" w:hAnsi="Times New Roman" w:cs="Times New Roman"/>
          <w:i/>
          <w:iCs/>
          <w:noProof/>
          <w:sz w:val="22"/>
        </w:rPr>
        <w:t>Bull. Am. Meteorol. Soc.</w:t>
      </w:r>
      <w:r w:rsidRPr="00FE6E8C">
        <w:rPr>
          <w:rFonts w:ascii="Times New Roman" w:hAnsi="Times New Roman" w:cs="Times New Roman"/>
          <w:noProof/>
          <w:sz w:val="22"/>
        </w:rPr>
        <w:t xml:space="preserve"> </w:t>
      </w:r>
      <w:r w:rsidRPr="00FE6E8C">
        <w:rPr>
          <w:rFonts w:ascii="Times New Roman" w:hAnsi="Times New Roman" w:cs="Times New Roman"/>
          <w:b/>
          <w:bCs/>
          <w:noProof/>
          <w:sz w:val="22"/>
        </w:rPr>
        <w:t>87</w:t>
      </w:r>
      <w:r w:rsidRPr="00FE6E8C">
        <w:rPr>
          <w:rFonts w:ascii="Times New Roman" w:hAnsi="Times New Roman" w:cs="Times New Roman"/>
          <w:noProof/>
          <w:sz w:val="22"/>
        </w:rPr>
        <w:t>, 175–190.</w:t>
      </w:r>
    </w:p>
    <w:p w14:paraId="160ED3EF" w14:textId="77777777" w:rsidR="00FE6E8C" w:rsidRPr="00FE6E8C" w:rsidRDefault="00FE6E8C" w:rsidP="00032692">
      <w:pPr>
        <w:widowControl w:val="0"/>
        <w:autoSpaceDE w:val="0"/>
        <w:autoSpaceDN w:val="0"/>
        <w:adjustRightInd w:val="0"/>
        <w:ind w:left="634" w:hanging="634"/>
        <w:rPr>
          <w:rFonts w:ascii="Times New Roman" w:hAnsi="Times New Roman" w:cs="Times New Roman"/>
          <w:noProof/>
          <w:sz w:val="22"/>
        </w:rPr>
      </w:pPr>
      <w:r w:rsidRPr="00FE6E8C">
        <w:rPr>
          <w:rFonts w:ascii="Times New Roman" w:hAnsi="Times New Roman" w:cs="Times New Roman"/>
          <w:noProof/>
          <w:sz w:val="22"/>
        </w:rPr>
        <w:t>13.</w:t>
      </w:r>
      <w:r w:rsidRPr="00FE6E8C">
        <w:rPr>
          <w:rFonts w:ascii="Times New Roman" w:hAnsi="Times New Roman" w:cs="Times New Roman"/>
          <w:noProof/>
          <w:sz w:val="22"/>
        </w:rPr>
        <w:tab/>
        <w:t xml:space="preserve">Carton JA, Giese BS. 2008 A Reanalysis of Ocean Climate Using Simple Ocean Data Assimilation (SODA). </w:t>
      </w:r>
      <w:r w:rsidRPr="00FE6E8C">
        <w:rPr>
          <w:rFonts w:ascii="Times New Roman" w:hAnsi="Times New Roman" w:cs="Times New Roman"/>
          <w:i/>
          <w:iCs/>
          <w:noProof/>
          <w:sz w:val="22"/>
        </w:rPr>
        <w:t>Mon. Weather Rev.</w:t>
      </w:r>
      <w:r w:rsidRPr="00FE6E8C">
        <w:rPr>
          <w:rFonts w:ascii="Times New Roman" w:hAnsi="Times New Roman" w:cs="Times New Roman"/>
          <w:noProof/>
          <w:sz w:val="22"/>
        </w:rPr>
        <w:t xml:space="preserve"> </w:t>
      </w:r>
      <w:r w:rsidRPr="00FE6E8C">
        <w:rPr>
          <w:rFonts w:ascii="Times New Roman" w:hAnsi="Times New Roman" w:cs="Times New Roman"/>
          <w:b/>
          <w:bCs/>
          <w:noProof/>
          <w:sz w:val="22"/>
        </w:rPr>
        <w:t>136</w:t>
      </w:r>
      <w:r w:rsidRPr="00FE6E8C">
        <w:rPr>
          <w:rFonts w:ascii="Times New Roman" w:hAnsi="Times New Roman" w:cs="Times New Roman"/>
          <w:noProof/>
          <w:sz w:val="22"/>
        </w:rPr>
        <w:t>, 2999–3017. (doi:10.1175/2007MWR1978.1)</w:t>
      </w:r>
    </w:p>
    <w:p w14:paraId="51E53C9C" w14:textId="77777777" w:rsidR="00FE6E8C" w:rsidRPr="00FE6E8C" w:rsidRDefault="00FE6E8C" w:rsidP="00032692">
      <w:pPr>
        <w:widowControl w:val="0"/>
        <w:autoSpaceDE w:val="0"/>
        <w:autoSpaceDN w:val="0"/>
        <w:adjustRightInd w:val="0"/>
        <w:ind w:left="634" w:hanging="634"/>
        <w:rPr>
          <w:rFonts w:ascii="Times New Roman" w:hAnsi="Times New Roman" w:cs="Times New Roman"/>
          <w:noProof/>
          <w:sz w:val="22"/>
        </w:rPr>
      </w:pPr>
      <w:r w:rsidRPr="00FE6E8C">
        <w:rPr>
          <w:rFonts w:ascii="Times New Roman" w:hAnsi="Times New Roman" w:cs="Times New Roman"/>
          <w:noProof/>
          <w:sz w:val="22"/>
        </w:rPr>
        <w:t>14.</w:t>
      </w:r>
      <w:r w:rsidRPr="00FE6E8C">
        <w:rPr>
          <w:rFonts w:ascii="Times New Roman" w:hAnsi="Times New Roman" w:cs="Times New Roman"/>
          <w:noProof/>
          <w:sz w:val="22"/>
        </w:rPr>
        <w:tab/>
        <w:t xml:space="preserve">Weingartner TJ, Danielson SL, Royer TC. 2005 Freshwater variability and predictability in the Alaska Coastal Current. </w:t>
      </w:r>
      <w:r w:rsidRPr="00FE6E8C">
        <w:rPr>
          <w:rFonts w:ascii="Times New Roman" w:hAnsi="Times New Roman" w:cs="Times New Roman"/>
          <w:i/>
          <w:iCs/>
          <w:noProof/>
          <w:sz w:val="22"/>
        </w:rPr>
        <w:t>Deep. Res. Part Ii-Topical Stud. Oceanogr.</w:t>
      </w:r>
      <w:r w:rsidRPr="00FE6E8C">
        <w:rPr>
          <w:rFonts w:ascii="Times New Roman" w:hAnsi="Times New Roman" w:cs="Times New Roman"/>
          <w:noProof/>
          <w:sz w:val="22"/>
        </w:rPr>
        <w:t xml:space="preserve"> </w:t>
      </w:r>
      <w:r w:rsidRPr="00FE6E8C">
        <w:rPr>
          <w:rFonts w:ascii="Times New Roman" w:hAnsi="Times New Roman" w:cs="Times New Roman"/>
          <w:b/>
          <w:bCs/>
          <w:noProof/>
          <w:sz w:val="22"/>
        </w:rPr>
        <w:t>52</w:t>
      </w:r>
      <w:r w:rsidRPr="00FE6E8C">
        <w:rPr>
          <w:rFonts w:ascii="Times New Roman" w:hAnsi="Times New Roman" w:cs="Times New Roman"/>
          <w:noProof/>
          <w:sz w:val="22"/>
        </w:rPr>
        <w:t>, 169–191. (doi:10.1016/j.dsr2.2004.09.030)</w:t>
      </w:r>
    </w:p>
    <w:p w14:paraId="6252FCC5" w14:textId="77777777" w:rsidR="00FE6E8C" w:rsidRPr="00FE6E8C" w:rsidRDefault="00FE6E8C" w:rsidP="00032692">
      <w:pPr>
        <w:widowControl w:val="0"/>
        <w:autoSpaceDE w:val="0"/>
        <w:autoSpaceDN w:val="0"/>
        <w:adjustRightInd w:val="0"/>
        <w:ind w:left="634" w:hanging="634"/>
        <w:rPr>
          <w:rFonts w:ascii="Times New Roman" w:hAnsi="Times New Roman" w:cs="Times New Roman"/>
          <w:noProof/>
          <w:sz w:val="22"/>
        </w:rPr>
      </w:pPr>
      <w:r w:rsidRPr="00FE6E8C">
        <w:rPr>
          <w:rFonts w:ascii="Times New Roman" w:hAnsi="Times New Roman" w:cs="Times New Roman"/>
          <w:noProof/>
          <w:sz w:val="22"/>
        </w:rPr>
        <w:t>15.</w:t>
      </w:r>
      <w:r w:rsidRPr="00FE6E8C">
        <w:rPr>
          <w:rFonts w:ascii="Times New Roman" w:hAnsi="Times New Roman" w:cs="Times New Roman"/>
          <w:noProof/>
          <w:sz w:val="22"/>
        </w:rPr>
        <w:tab/>
        <w:t xml:space="preserve">Hill DF, Bruhis N, Calos SE, Arendt A, Beamer J. 2015 Spatial and temporal variability of freshwater discharge into the Gulf of Alaska. </w:t>
      </w:r>
      <w:r w:rsidRPr="00FE6E8C">
        <w:rPr>
          <w:rFonts w:ascii="Times New Roman" w:hAnsi="Times New Roman" w:cs="Times New Roman"/>
          <w:i/>
          <w:iCs/>
          <w:noProof/>
          <w:sz w:val="22"/>
        </w:rPr>
        <w:t>J. Geophys. Res.</w:t>
      </w:r>
      <w:r w:rsidRPr="00FE6E8C">
        <w:rPr>
          <w:rFonts w:ascii="Times New Roman" w:hAnsi="Times New Roman" w:cs="Times New Roman"/>
          <w:noProof/>
          <w:sz w:val="22"/>
        </w:rPr>
        <w:t xml:space="preserve"> </w:t>
      </w:r>
      <w:r w:rsidRPr="00FE6E8C">
        <w:rPr>
          <w:rFonts w:ascii="Times New Roman" w:hAnsi="Times New Roman" w:cs="Times New Roman"/>
          <w:b/>
          <w:bCs/>
          <w:noProof/>
          <w:sz w:val="22"/>
        </w:rPr>
        <w:t>10.1002/20</w:t>
      </w:r>
      <w:r w:rsidRPr="00FE6E8C">
        <w:rPr>
          <w:rFonts w:ascii="Times New Roman" w:hAnsi="Times New Roman" w:cs="Times New Roman"/>
          <w:noProof/>
          <w:sz w:val="22"/>
        </w:rPr>
        <w:t>.</w:t>
      </w:r>
    </w:p>
    <w:p w14:paraId="24B7F213" w14:textId="77777777" w:rsidR="00FE6E8C" w:rsidRPr="00FE6E8C" w:rsidRDefault="00FE6E8C" w:rsidP="00032692">
      <w:pPr>
        <w:widowControl w:val="0"/>
        <w:autoSpaceDE w:val="0"/>
        <w:autoSpaceDN w:val="0"/>
        <w:adjustRightInd w:val="0"/>
        <w:ind w:left="634" w:hanging="634"/>
        <w:rPr>
          <w:rFonts w:ascii="Times New Roman" w:hAnsi="Times New Roman" w:cs="Times New Roman"/>
          <w:noProof/>
          <w:sz w:val="22"/>
        </w:rPr>
      </w:pPr>
      <w:r w:rsidRPr="00FE6E8C">
        <w:rPr>
          <w:rFonts w:ascii="Times New Roman" w:hAnsi="Times New Roman" w:cs="Times New Roman"/>
          <w:noProof/>
          <w:sz w:val="22"/>
        </w:rPr>
        <w:t>16.</w:t>
      </w:r>
      <w:r w:rsidRPr="00FE6E8C">
        <w:rPr>
          <w:rFonts w:ascii="Times New Roman" w:hAnsi="Times New Roman" w:cs="Times New Roman"/>
          <w:noProof/>
          <w:sz w:val="22"/>
        </w:rPr>
        <w:tab/>
        <w:t xml:space="preserve">Henson SA. 2007 Water column stability and spring bloom dynamics in the Gulf of Alaska. </w:t>
      </w:r>
      <w:r w:rsidRPr="00FE6E8C">
        <w:rPr>
          <w:rFonts w:ascii="Times New Roman" w:hAnsi="Times New Roman" w:cs="Times New Roman"/>
          <w:i/>
          <w:iCs/>
          <w:noProof/>
          <w:sz w:val="22"/>
        </w:rPr>
        <w:t>J. Mar. Res.</w:t>
      </w:r>
      <w:r w:rsidRPr="00FE6E8C">
        <w:rPr>
          <w:rFonts w:ascii="Times New Roman" w:hAnsi="Times New Roman" w:cs="Times New Roman"/>
          <w:noProof/>
          <w:sz w:val="22"/>
        </w:rPr>
        <w:t xml:space="preserve"> </w:t>
      </w:r>
      <w:r w:rsidRPr="00FE6E8C">
        <w:rPr>
          <w:rFonts w:ascii="Times New Roman" w:hAnsi="Times New Roman" w:cs="Times New Roman"/>
          <w:b/>
          <w:bCs/>
          <w:noProof/>
          <w:sz w:val="22"/>
        </w:rPr>
        <w:t>65</w:t>
      </w:r>
      <w:r w:rsidRPr="00FE6E8C">
        <w:rPr>
          <w:rFonts w:ascii="Times New Roman" w:hAnsi="Times New Roman" w:cs="Times New Roman"/>
          <w:noProof/>
          <w:sz w:val="22"/>
        </w:rPr>
        <w:t>, 715–736.</w:t>
      </w:r>
    </w:p>
    <w:p w14:paraId="3FCE9AF2" w14:textId="77777777" w:rsidR="00FE6E8C" w:rsidRPr="00FE6E8C" w:rsidRDefault="00FE6E8C" w:rsidP="00032692">
      <w:pPr>
        <w:widowControl w:val="0"/>
        <w:autoSpaceDE w:val="0"/>
        <w:autoSpaceDN w:val="0"/>
        <w:adjustRightInd w:val="0"/>
        <w:ind w:left="634" w:hanging="634"/>
        <w:rPr>
          <w:rFonts w:ascii="Times New Roman" w:hAnsi="Times New Roman" w:cs="Times New Roman"/>
          <w:noProof/>
          <w:sz w:val="22"/>
        </w:rPr>
      </w:pPr>
      <w:r w:rsidRPr="00FE6E8C">
        <w:rPr>
          <w:rFonts w:ascii="Times New Roman" w:hAnsi="Times New Roman" w:cs="Times New Roman"/>
          <w:noProof/>
          <w:sz w:val="22"/>
        </w:rPr>
        <w:t>17.</w:t>
      </w:r>
      <w:r w:rsidRPr="00FE6E8C">
        <w:rPr>
          <w:rFonts w:ascii="Times New Roman" w:hAnsi="Times New Roman" w:cs="Times New Roman"/>
          <w:noProof/>
          <w:sz w:val="22"/>
        </w:rPr>
        <w:tab/>
        <w:t xml:space="preserve">Bakun A. 1990 Global climate change and intensification of coastal ocean upwelling. </w:t>
      </w:r>
      <w:r w:rsidRPr="00FE6E8C">
        <w:rPr>
          <w:rFonts w:ascii="Times New Roman" w:hAnsi="Times New Roman" w:cs="Times New Roman"/>
          <w:i/>
          <w:iCs/>
          <w:noProof/>
          <w:sz w:val="22"/>
        </w:rPr>
        <w:t>Science (80-. ).</w:t>
      </w:r>
      <w:r w:rsidRPr="00FE6E8C">
        <w:rPr>
          <w:rFonts w:ascii="Times New Roman" w:hAnsi="Times New Roman" w:cs="Times New Roman"/>
          <w:noProof/>
          <w:sz w:val="22"/>
        </w:rPr>
        <w:t xml:space="preserve"> </w:t>
      </w:r>
      <w:r w:rsidRPr="00FE6E8C">
        <w:rPr>
          <w:rFonts w:ascii="Times New Roman" w:hAnsi="Times New Roman" w:cs="Times New Roman"/>
          <w:b/>
          <w:bCs/>
          <w:noProof/>
          <w:sz w:val="22"/>
        </w:rPr>
        <w:t>247</w:t>
      </w:r>
      <w:r w:rsidRPr="00FE6E8C">
        <w:rPr>
          <w:rFonts w:ascii="Times New Roman" w:hAnsi="Times New Roman" w:cs="Times New Roman"/>
          <w:noProof/>
          <w:sz w:val="22"/>
        </w:rPr>
        <w:t>, 198–201. (doi:10.1126/science.247.4939.198)</w:t>
      </w:r>
    </w:p>
    <w:p w14:paraId="741AF9CC" w14:textId="77777777" w:rsidR="00FE6E8C" w:rsidRPr="00FE6E8C" w:rsidRDefault="00FE6E8C" w:rsidP="00032692">
      <w:pPr>
        <w:widowControl w:val="0"/>
        <w:autoSpaceDE w:val="0"/>
        <w:autoSpaceDN w:val="0"/>
        <w:adjustRightInd w:val="0"/>
        <w:ind w:left="634" w:hanging="634"/>
        <w:rPr>
          <w:rFonts w:ascii="Times New Roman" w:hAnsi="Times New Roman" w:cs="Times New Roman"/>
          <w:noProof/>
          <w:sz w:val="22"/>
        </w:rPr>
      </w:pPr>
      <w:r w:rsidRPr="00FE6E8C">
        <w:rPr>
          <w:rFonts w:ascii="Times New Roman" w:hAnsi="Times New Roman" w:cs="Times New Roman"/>
          <w:noProof/>
          <w:sz w:val="22"/>
        </w:rPr>
        <w:t>18.</w:t>
      </w:r>
      <w:r w:rsidRPr="00FE6E8C">
        <w:rPr>
          <w:rFonts w:ascii="Times New Roman" w:hAnsi="Times New Roman" w:cs="Times New Roman"/>
          <w:noProof/>
          <w:sz w:val="22"/>
        </w:rPr>
        <w:tab/>
        <w:t xml:space="preserve">Kobayashi S </w:t>
      </w:r>
      <w:r w:rsidRPr="00FE6E8C">
        <w:rPr>
          <w:rFonts w:ascii="Times New Roman" w:hAnsi="Times New Roman" w:cs="Times New Roman"/>
          <w:i/>
          <w:iCs/>
          <w:noProof/>
          <w:sz w:val="22"/>
        </w:rPr>
        <w:t>et al.</w:t>
      </w:r>
      <w:r w:rsidRPr="00FE6E8C">
        <w:rPr>
          <w:rFonts w:ascii="Times New Roman" w:hAnsi="Times New Roman" w:cs="Times New Roman"/>
          <w:noProof/>
          <w:sz w:val="22"/>
        </w:rPr>
        <w:t xml:space="preserve"> 2015 The JRA-55 Reanalysis: General Specifications and Basic Characteristics. </w:t>
      </w:r>
      <w:r w:rsidRPr="00FE6E8C">
        <w:rPr>
          <w:rFonts w:ascii="Times New Roman" w:hAnsi="Times New Roman" w:cs="Times New Roman"/>
          <w:i/>
          <w:iCs/>
          <w:noProof/>
          <w:sz w:val="22"/>
        </w:rPr>
        <w:t>J. Meteorol. Soc. JAPAN</w:t>
      </w:r>
      <w:r w:rsidRPr="00FE6E8C">
        <w:rPr>
          <w:rFonts w:ascii="Times New Roman" w:hAnsi="Times New Roman" w:cs="Times New Roman"/>
          <w:noProof/>
          <w:sz w:val="22"/>
        </w:rPr>
        <w:t xml:space="preserve"> </w:t>
      </w:r>
      <w:r w:rsidRPr="00FE6E8C">
        <w:rPr>
          <w:rFonts w:ascii="Times New Roman" w:hAnsi="Times New Roman" w:cs="Times New Roman"/>
          <w:b/>
          <w:bCs/>
          <w:noProof/>
          <w:sz w:val="22"/>
        </w:rPr>
        <w:t>93</w:t>
      </w:r>
      <w:r w:rsidRPr="00FE6E8C">
        <w:rPr>
          <w:rFonts w:ascii="Times New Roman" w:hAnsi="Times New Roman" w:cs="Times New Roman"/>
          <w:noProof/>
          <w:sz w:val="22"/>
        </w:rPr>
        <w:t>, 5–48. (doi:10.2151/jmsj.2015-001)</w:t>
      </w:r>
    </w:p>
    <w:p w14:paraId="49EDF6AD" w14:textId="77777777" w:rsidR="000B5B57" w:rsidRPr="00673904" w:rsidRDefault="00BA0208" w:rsidP="00032692">
      <w:pPr>
        <w:widowControl w:val="0"/>
        <w:autoSpaceDE w:val="0"/>
        <w:autoSpaceDN w:val="0"/>
        <w:adjustRightInd w:val="0"/>
        <w:ind w:left="634" w:hanging="634"/>
        <w:rPr>
          <w:rFonts w:ascii="Times New Roman" w:hAnsi="Times New Roman" w:cs="Times New Roman"/>
        </w:rPr>
      </w:pPr>
      <w:r w:rsidRPr="00673904">
        <w:rPr>
          <w:rFonts w:ascii="Times New Roman" w:hAnsi="Times New Roman" w:cs="Times New Roman"/>
          <w:sz w:val="22"/>
          <w:szCs w:val="22"/>
        </w:rPr>
        <w:fldChar w:fldCharType="end"/>
      </w:r>
    </w:p>
    <w:sectPr w:rsidR="000B5B57" w:rsidRPr="00673904" w:rsidSect="00CF2FD2">
      <w:footerReference w:type="even" r:id="rId11"/>
      <w:footerReference w:type="default" r:id="rId12"/>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36E0C5" w14:textId="77777777" w:rsidR="00E34BE8" w:rsidRDefault="00E34BE8" w:rsidP="00BA0208">
      <w:r>
        <w:separator/>
      </w:r>
    </w:p>
  </w:endnote>
  <w:endnote w:type="continuationSeparator" w:id="0">
    <w:p w14:paraId="033B917F" w14:textId="77777777" w:rsidR="00E34BE8" w:rsidRDefault="00E34BE8" w:rsidP="00BA02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ACFF"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47953766"/>
      <w:docPartObj>
        <w:docPartGallery w:val="Page Numbers (Bottom of Page)"/>
        <w:docPartUnique/>
      </w:docPartObj>
    </w:sdtPr>
    <w:sdtContent>
      <w:p w14:paraId="65B68594" w14:textId="77777777" w:rsidR="00CA0590" w:rsidRDefault="00CA0590" w:rsidP="000B5B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262F6ABD" w14:textId="77777777" w:rsidR="00CA0590" w:rsidRDefault="00CA0590" w:rsidP="00BA020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755281714"/>
      <w:docPartObj>
        <w:docPartGallery w:val="Page Numbers (Bottom of Page)"/>
        <w:docPartUnique/>
      </w:docPartObj>
    </w:sdtPr>
    <w:sdtContent>
      <w:p w14:paraId="26A0A71E" w14:textId="77777777" w:rsidR="00CA0590" w:rsidRDefault="00CA0590" w:rsidP="000B5B5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C37DFB2" w14:textId="77777777" w:rsidR="00CA0590" w:rsidRDefault="00CA0590" w:rsidP="00BA0208">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9396C0B" w14:textId="77777777" w:rsidR="00E34BE8" w:rsidRDefault="00E34BE8" w:rsidP="00BA0208">
      <w:r>
        <w:separator/>
      </w:r>
    </w:p>
  </w:footnote>
  <w:footnote w:type="continuationSeparator" w:id="0">
    <w:p w14:paraId="793D1F07" w14:textId="77777777" w:rsidR="00E34BE8" w:rsidRDefault="00E34BE8" w:rsidP="00BA020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3876"/>
    <w:rsid w:val="00007B25"/>
    <w:rsid w:val="00016581"/>
    <w:rsid w:val="000320D4"/>
    <w:rsid w:val="00032692"/>
    <w:rsid w:val="00057388"/>
    <w:rsid w:val="00061F21"/>
    <w:rsid w:val="0006406B"/>
    <w:rsid w:val="000746DC"/>
    <w:rsid w:val="00076288"/>
    <w:rsid w:val="00077E64"/>
    <w:rsid w:val="0008516A"/>
    <w:rsid w:val="0009083C"/>
    <w:rsid w:val="0009130C"/>
    <w:rsid w:val="00095E0F"/>
    <w:rsid w:val="000A0803"/>
    <w:rsid w:val="000A36F0"/>
    <w:rsid w:val="000B5B57"/>
    <w:rsid w:val="000C0339"/>
    <w:rsid w:val="000D6233"/>
    <w:rsid w:val="000D774C"/>
    <w:rsid w:val="000E2B8E"/>
    <w:rsid w:val="000F70EF"/>
    <w:rsid w:val="000F7E6C"/>
    <w:rsid w:val="00101F9D"/>
    <w:rsid w:val="00102B84"/>
    <w:rsid w:val="00120DC7"/>
    <w:rsid w:val="00126805"/>
    <w:rsid w:val="001377A8"/>
    <w:rsid w:val="00143413"/>
    <w:rsid w:val="00157C0E"/>
    <w:rsid w:val="001630D4"/>
    <w:rsid w:val="001631C4"/>
    <w:rsid w:val="0016548F"/>
    <w:rsid w:val="001676E4"/>
    <w:rsid w:val="00175954"/>
    <w:rsid w:val="00181D81"/>
    <w:rsid w:val="00194622"/>
    <w:rsid w:val="001B0925"/>
    <w:rsid w:val="001B72BE"/>
    <w:rsid w:val="001C3CB8"/>
    <w:rsid w:val="00214492"/>
    <w:rsid w:val="0021468D"/>
    <w:rsid w:val="00234F02"/>
    <w:rsid w:val="00250E3E"/>
    <w:rsid w:val="002510F9"/>
    <w:rsid w:val="00263E77"/>
    <w:rsid w:val="00267143"/>
    <w:rsid w:val="00271CEB"/>
    <w:rsid w:val="0027745C"/>
    <w:rsid w:val="00295384"/>
    <w:rsid w:val="00296226"/>
    <w:rsid w:val="002A3346"/>
    <w:rsid w:val="002C0646"/>
    <w:rsid w:val="002C1DC7"/>
    <w:rsid w:val="002E6CF9"/>
    <w:rsid w:val="00330F3E"/>
    <w:rsid w:val="003379D4"/>
    <w:rsid w:val="00341181"/>
    <w:rsid w:val="00343C4F"/>
    <w:rsid w:val="003534FA"/>
    <w:rsid w:val="003612B4"/>
    <w:rsid w:val="00364F2A"/>
    <w:rsid w:val="00370701"/>
    <w:rsid w:val="00385F1B"/>
    <w:rsid w:val="003870BD"/>
    <w:rsid w:val="003E2AD2"/>
    <w:rsid w:val="00406AC7"/>
    <w:rsid w:val="00407133"/>
    <w:rsid w:val="0041548F"/>
    <w:rsid w:val="00430E62"/>
    <w:rsid w:val="004561DA"/>
    <w:rsid w:val="00457928"/>
    <w:rsid w:val="0046118F"/>
    <w:rsid w:val="004A4AEF"/>
    <w:rsid w:val="004A577E"/>
    <w:rsid w:val="004B4A48"/>
    <w:rsid w:val="004C57E0"/>
    <w:rsid w:val="004D2D15"/>
    <w:rsid w:val="004E0929"/>
    <w:rsid w:val="0050179F"/>
    <w:rsid w:val="00535A79"/>
    <w:rsid w:val="00536DDC"/>
    <w:rsid w:val="00537A85"/>
    <w:rsid w:val="005417C4"/>
    <w:rsid w:val="00550DED"/>
    <w:rsid w:val="005800C3"/>
    <w:rsid w:val="005932B7"/>
    <w:rsid w:val="0059575E"/>
    <w:rsid w:val="005C2F4A"/>
    <w:rsid w:val="005C48F0"/>
    <w:rsid w:val="005C6641"/>
    <w:rsid w:val="005E6967"/>
    <w:rsid w:val="005E78C0"/>
    <w:rsid w:val="005F7A76"/>
    <w:rsid w:val="00605935"/>
    <w:rsid w:val="0062241F"/>
    <w:rsid w:val="006468E8"/>
    <w:rsid w:val="00647625"/>
    <w:rsid w:val="006557E1"/>
    <w:rsid w:val="00660371"/>
    <w:rsid w:val="00667863"/>
    <w:rsid w:val="00673904"/>
    <w:rsid w:val="00683876"/>
    <w:rsid w:val="006A4FA1"/>
    <w:rsid w:val="006C54D5"/>
    <w:rsid w:val="006D188A"/>
    <w:rsid w:val="006F4A5D"/>
    <w:rsid w:val="006F52BC"/>
    <w:rsid w:val="00704E17"/>
    <w:rsid w:val="007127AD"/>
    <w:rsid w:val="0072165A"/>
    <w:rsid w:val="007304CF"/>
    <w:rsid w:val="007423D5"/>
    <w:rsid w:val="0075126E"/>
    <w:rsid w:val="00755921"/>
    <w:rsid w:val="00761FC1"/>
    <w:rsid w:val="00785380"/>
    <w:rsid w:val="007C4A54"/>
    <w:rsid w:val="007C60E7"/>
    <w:rsid w:val="008046C5"/>
    <w:rsid w:val="00822983"/>
    <w:rsid w:val="00822A4F"/>
    <w:rsid w:val="0083392A"/>
    <w:rsid w:val="00841D55"/>
    <w:rsid w:val="00844390"/>
    <w:rsid w:val="0085358A"/>
    <w:rsid w:val="00874350"/>
    <w:rsid w:val="008835F7"/>
    <w:rsid w:val="008A39BA"/>
    <w:rsid w:val="008B6B73"/>
    <w:rsid w:val="008C5A3A"/>
    <w:rsid w:val="008D6651"/>
    <w:rsid w:val="008E2E23"/>
    <w:rsid w:val="008F5F6A"/>
    <w:rsid w:val="00906919"/>
    <w:rsid w:val="00912957"/>
    <w:rsid w:val="00941ECA"/>
    <w:rsid w:val="00945431"/>
    <w:rsid w:val="00955624"/>
    <w:rsid w:val="00990EE7"/>
    <w:rsid w:val="009928DE"/>
    <w:rsid w:val="009A3AFA"/>
    <w:rsid w:val="009A61CA"/>
    <w:rsid w:val="009B1918"/>
    <w:rsid w:val="009C3348"/>
    <w:rsid w:val="009D33AC"/>
    <w:rsid w:val="00A059E9"/>
    <w:rsid w:val="00A13BA5"/>
    <w:rsid w:val="00A1715A"/>
    <w:rsid w:val="00A242BF"/>
    <w:rsid w:val="00A42D2E"/>
    <w:rsid w:val="00A55C23"/>
    <w:rsid w:val="00AB53C8"/>
    <w:rsid w:val="00AB62BA"/>
    <w:rsid w:val="00AF3B66"/>
    <w:rsid w:val="00AF4FDF"/>
    <w:rsid w:val="00B0081A"/>
    <w:rsid w:val="00B02B31"/>
    <w:rsid w:val="00B0787D"/>
    <w:rsid w:val="00B113FC"/>
    <w:rsid w:val="00B153EC"/>
    <w:rsid w:val="00B15D8A"/>
    <w:rsid w:val="00B21B84"/>
    <w:rsid w:val="00B26B79"/>
    <w:rsid w:val="00B26CFF"/>
    <w:rsid w:val="00B46482"/>
    <w:rsid w:val="00B5372D"/>
    <w:rsid w:val="00B5398F"/>
    <w:rsid w:val="00B561D8"/>
    <w:rsid w:val="00B70BAC"/>
    <w:rsid w:val="00B7692E"/>
    <w:rsid w:val="00B772BA"/>
    <w:rsid w:val="00B93FCA"/>
    <w:rsid w:val="00B9518C"/>
    <w:rsid w:val="00BA0208"/>
    <w:rsid w:val="00BA7B0D"/>
    <w:rsid w:val="00BB0CAD"/>
    <w:rsid w:val="00BB2BED"/>
    <w:rsid w:val="00BC38C5"/>
    <w:rsid w:val="00BD2876"/>
    <w:rsid w:val="00BD4D9C"/>
    <w:rsid w:val="00BE6928"/>
    <w:rsid w:val="00C00E14"/>
    <w:rsid w:val="00C27382"/>
    <w:rsid w:val="00C339D7"/>
    <w:rsid w:val="00C57FFB"/>
    <w:rsid w:val="00C826ED"/>
    <w:rsid w:val="00C943B6"/>
    <w:rsid w:val="00CA0590"/>
    <w:rsid w:val="00CC319E"/>
    <w:rsid w:val="00CD2926"/>
    <w:rsid w:val="00CD4381"/>
    <w:rsid w:val="00CD4883"/>
    <w:rsid w:val="00CD64BF"/>
    <w:rsid w:val="00CE116A"/>
    <w:rsid w:val="00CF1C49"/>
    <w:rsid w:val="00CF2FD2"/>
    <w:rsid w:val="00D022F7"/>
    <w:rsid w:val="00D31070"/>
    <w:rsid w:val="00D3545E"/>
    <w:rsid w:val="00D4256D"/>
    <w:rsid w:val="00D432C9"/>
    <w:rsid w:val="00D50D82"/>
    <w:rsid w:val="00D9403C"/>
    <w:rsid w:val="00D94C71"/>
    <w:rsid w:val="00DA7FAE"/>
    <w:rsid w:val="00DB547F"/>
    <w:rsid w:val="00DC1717"/>
    <w:rsid w:val="00DC5CB0"/>
    <w:rsid w:val="00DC611A"/>
    <w:rsid w:val="00DC6F91"/>
    <w:rsid w:val="00DD5B02"/>
    <w:rsid w:val="00DD7AAA"/>
    <w:rsid w:val="00DE24B8"/>
    <w:rsid w:val="00E03E3C"/>
    <w:rsid w:val="00E2223C"/>
    <w:rsid w:val="00E30156"/>
    <w:rsid w:val="00E32996"/>
    <w:rsid w:val="00E34BE8"/>
    <w:rsid w:val="00E352E2"/>
    <w:rsid w:val="00E36799"/>
    <w:rsid w:val="00E56D9B"/>
    <w:rsid w:val="00E634B0"/>
    <w:rsid w:val="00E76B59"/>
    <w:rsid w:val="00E85F91"/>
    <w:rsid w:val="00E96A01"/>
    <w:rsid w:val="00ED59D1"/>
    <w:rsid w:val="00EE23B1"/>
    <w:rsid w:val="00EF431A"/>
    <w:rsid w:val="00EF5066"/>
    <w:rsid w:val="00F33743"/>
    <w:rsid w:val="00F50C8D"/>
    <w:rsid w:val="00F563B7"/>
    <w:rsid w:val="00F603D0"/>
    <w:rsid w:val="00F60513"/>
    <w:rsid w:val="00F64BD5"/>
    <w:rsid w:val="00F82461"/>
    <w:rsid w:val="00FA67E2"/>
    <w:rsid w:val="00FB7330"/>
    <w:rsid w:val="00FD045E"/>
    <w:rsid w:val="00FE03CC"/>
    <w:rsid w:val="00FE4E04"/>
    <w:rsid w:val="00FE6E8C"/>
    <w:rsid w:val="00FF7CB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C22868"/>
  <w14:defaultImageDpi w14:val="32767"/>
  <w15:docId w15:val="{35F5107C-E186-674B-AFF9-22D5FDB9B3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8387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838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BA0208"/>
    <w:pPr>
      <w:tabs>
        <w:tab w:val="center" w:pos="4680"/>
        <w:tab w:val="right" w:pos="9360"/>
      </w:tabs>
    </w:pPr>
  </w:style>
  <w:style w:type="character" w:customStyle="1" w:styleId="FooterChar">
    <w:name w:val="Footer Char"/>
    <w:basedOn w:val="DefaultParagraphFont"/>
    <w:link w:val="Footer"/>
    <w:uiPriority w:val="99"/>
    <w:rsid w:val="00BA0208"/>
  </w:style>
  <w:style w:type="character" w:styleId="PageNumber">
    <w:name w:val="page number"/>
    <w:basedOn w:val="DefaultParagraphFont"/>
    <w:uiPriority w:val="99"/>
    <w:semiHidden/>
    <w:unhideWhenUsed/>
    <w:rsid w:val="00BA0208"/>
  </w:style>
  <w:style w:type="character" w:styleId="LineNumber">
    <w:name w:val="line number"/>
    <w:basedOn w:val="DefaultParagraphFont"/>
    <w:uiPriority w:val="99"/>
    <w:semiHidden/>
    <w:unhideWhenUsed/>
    <w:rsid w:val="00BA0208"/>
  </w:style>
  <w:style w:type="paragraph" w:styleId="BalloonText">
    <w:name w:val="Balloon Text"/>
    <w:basedOn w:val="Normal"/>
    <w:link w:val="BalloonTextChar"/>
    <w:uiPriority w:val="99"/>
    <w:semiHidden/>
    <w:unhideWhenUsed/>
    <w:rsid w:val="00C2738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C27382"/>
    <w:rPr>
      <w:rFonts w:ascii="Times New Roman" w:hAnsi="Times New Roman" w:cs="Times New Roman"/>
      <w:sz w:val="18"/>
      <w:szCs w:val="18"/>
    </w:rPr>
  </w:style>
  <w:style w:type="character" w:styleId="PlaceholderText">
    <w:name w:val="Placeholder Text"/>
    <w:basedOn w:val="DefaultParagraphFont"/>
    <w:uiPriority w:val="99"/>
    <w:semiHidden/>
    <w:rsid w:val="009B1918"/>
    <w:rPr>
      <w:color w:val="808080"/>
    </w:rPr>
  </w:style>
  <w:style w:type="character" w:styleId="CommentReference">
    <w:name w:val="annotation reference"/>
    <w:basedOn w:val="DefaultParagraphFont"/>
    <w:uiPriority w:val="99"/>
    <w:semiHidden/>
    <w:unhideWhenUsed/>
    <w:rsid w:val="00ED59D1"/>
    <w:rPr>
      <w:sz w:val="16"/>
      <w:szCs w:val="16"/>
    </w:rPr>
  </w:style>
  <w:style w:type="paragraph" w:styleId="CommentText">
    <w:name w:val="annotation text"/>
    <w:basedOn w:val="Normal"/>
    <w:link w:val="CommentTextChar"/>
    <w:uiPriority w:val="99"/>
    <w:semiHidden/>
    <w:unhideWhenUsed/>
    <w:rsid w:val="00ED59D1"/>
    <w:rPr>
      <w:sz w:val="20"/>
      <w:szCs w:val="20"/>
    </w:rPr>
  </w:style>
  <w:style w:type="character" w:customStyle="1" w:styleId="CommentTextChar">
    <w:name w:val="Comment Text Char"/>
    <w:basedOn w:val="DefaultParagraphFont"/>
    <w:link w:val="CommentText"/>
    <w:uiPriority w:val="99"/>
    <w:semiHidden/>
    <w:rsid w:val="00ED59D1"/>
    <w:rPr>
      <w:sz w:val="20"/>
      <w:szCs w:val="20"/>
    </w:rPr>
  </w:style>
  <w:style w:type="paragraph" w:styleId="CommentSubject">
    <w:name w:val="annotation subject"/>
    <w:basedOn w:val="CommentText"/>
    <w:next w:val="CommentText"/>
    <w:link w:val="CommentSubjectChar"/>
    <w:uiPriority w:val="99"/>
    <w:semiHidden/>
    <w:unhideWhenUsed/>
    <w:rsid w:val="00ED59D1"/>
    <w:rPr>
      <w:b/>
      <w:bCs/>
    </w:rPr>
  </w:style>
  <w:style w:type="character" w:customStyle="1" w:styleId="CommentSubjectChar">
    <w:name w:val="Comment Subject Char"/>
    <w:basedOn w:val="CommentTextChar"/>
    <w:link w:val="CommentSubject"/>
    <w:uiPriority w:val="99"/>
    <w:semiHidden/>
    <w:rsid w:val="00ED59D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80605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18360C-F2B0-F546-92BA-E0542B1E8D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13</Pages>
  <Words>9190</Words>
  <Characters>52388</Characters>
  <Application>Microsoft Office Word</Application>
  <DocSecurity>0</DocSecurity>
  <Lines>436</Lines>
  <Paragraphs>122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Mike Litzow</cp:lastModifiedBy>
  <cp:revision>6</cp:revision>
  <cp:lastPrinted>2018-10-30T00:38:00Z</cp:lastPrinted>
  <dcterms:created xsi:type="dcterms:W3CDTF">2018-10-29T23:21:00Z</dcterms:created>
  <dcterms:modified xsi:type="dcterms:W3CDTF">2018-10-30T01:01:00Z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http://www.zotero.org/styles/chicago-author-date</vt:lpwstr>
  </property>
  <property fmtid="{D5CDD505-2E9C-101B-9397-08002B2CF9AE}" pid="5" name="Mendeley Recent Style Name 1_1">
    <vt:lpwstr>Chicago Manual of Style 16th edition (author-date)</vt:lpwstr>
  </property>
  <property fmtid="{D5CDD505-2E9C-101B-9397-08002B2CF9AE}" pid="6" name="Mendeley Recent Style Id 2_1">
    <vt:lpwstr>http://www.zotero.org/styles/ecology-letters</vt:lpwstr>
  </property>
  <property fmtid="{D5CDD505-2E9C-101B-9397-08002B2CF9AE}" pid="7" name="Mendeley Recent Style Name 2_1">
    <vt:lpwstr>Ecology Letters</vt:lpwstr>
  </property>
  <property fmtid="{D5CDD505-2E9C-101B-9397-08002B2CF9AE}" pid="8" name="Mendeley Recent Style Id 3_1">
    <vt:lpwstr>http://www.zotero.org/styles/global-change-biology</vt:lpwstr>
  </property>
  <property fmtid="{D5CDD505-2E9C-101B-9397-08002B2CF9AE}" pid="9" name="Mendeley Recent Style Name 3_1">
    <vt:lpwstr>Global Change Biology</vt:lpwstr>
  </property>
  <property fmtid="{D5CDD505-2E9C-101B-9397-08002B2CF9AE}" pid="10" name="Mendeley Recent Style Id 4_1">
    <vt:lpwstr>http://www.zotero.org/styles/harvard1</vt:lpwstr>
  </property>
  <property fmtid="{D5CDD505-2E9C-101B-9397-08002B2CF9AE}" pid="11" name="Mendeley Recent Style Name 4_1">
    <vt:lpwstr>Harvard Reference format 1 (author-date)</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7th edition</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http://www.zotero.org/styles/proceedings-of-the-royal-society-b</vt:lpwstr>
  </property>
  <property fmtid="{D5CDD505-2E9C-101B-9397-08002B2CF9AE}" pid="21" name="Mendeley Recent Style Name 9_1">
    <vt:lpwstr>Proceedings of the Royal Society B</vt:lpwstr>
  </property>
  <property fmtid="{D5CDD505-2E9C-101B-9397-08002B2CF9AE}" pid="22" name="Mendeley Document_1">
    <vt:lpwstr>True</vt:lpwstr>
  </property>
  <property fmtid="{D5CDD505-2E9C-101B-9397-08002B2CF9AE}" pid="23" name="Mendeley Unique User Id_1">
    <vt:lpwstr>94a72b9b-f44a-357b-96a1-9ed715c4397c</vt:lpwstr>
  </property>
  <property fmtid="{D5CDD505-2E9C-101B-9397-08002B2CF9AE}" pid="24" name="Mendeley Citation Style_1">
    <vt:lpwstr>http://www.zotero.org/styles/proceedings-of-the-royal-society-b</vt:lpwstr>
  </property>
</Properties>
</file>