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30C0C" w14:textId="730C4F22" w:rsidR="005E4248" w:rsidRDefault="00804CE7" w:rsidP="00B939DE">
      <w:pPr>
        <w:pStyle w:val="01PaperTitle"/>
        <w:spacing w:line="480" w:lineRule="auto"/>
        <w:jc w:val="left"/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Supplementary Materials</w:t>
      </w:r>
      <w:r w:rsidR="005E4248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for:</w:t>
      </w:r>
      <w:r w:rsidR="00853C66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</w:p>
    <w:p w14:paraId="3A44D24C" w14:textId="77777777" w:rsidR="00845123" w:rsidRPr="00845123" w:rsidRDefault="00845123" w:rsidP="00845123">
      <w:pPr>
        <w:pStyle w:val="02Authornames"/>
        <w:rPr>
          <w:lang w:val="en-US"/>
        </w:rPr>
      </w:pPr>
    </w:p>
    <w:p w14:paraId="2B166CA2" w14:textId="29133345" w:rsidR="005E4248" w:rsidRPr="000B6432" w:rsidRDefault="005E4248" w:rsidP="005E4248">
      <w:pPr>
        <w:pStyle w:val="01PaperTitle"/>
        <w:spacing w:line="240" w:lineRule="auto"/>
      </w:pPr>
      <w:r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t>Challenges</w:t>
      </w:r>
      <w:r w:rsidRPr="00B83FC4">
        <w:t xml:space="preserve"> and future prospects </w:t>
      </w:r>
      <w:r>
        <w:t>for</w:t>
      </w:r>
      <w:r w:rsidRPr="00B83FC4">
        <w:t xml:space="preserve"> </w:t>
      </w:r>
      <w:r>
        <w:t>developing</w:t>
      </w:r>
      <w:r w:rsidRPr="00B83FC4">
        <w:t xml:space="preserve"> Ca</w:t>
      </w:r>
      <w:r>
        <w:t xml:space="preserve"> and </w:t>
      </w:r>
      <w:r w:rsidRPr="00B83FC4">
        <w:t xml:space="preserve">Mg </w:t>
      </w:r>
      <w:r w:rsidR="00BA31F8">
        <w:t>water quality</w:t>
      </w:r>
      <w:r w:rsidRPr="00B83FC4">
        <w:t xml:space="preserve"> </w:t>
      </w:r>
      <w:r>
        <w:t>guidelines:  A meta-analysis</w:t>
      </w:r>
    </w:p>
    <w:p w14:paraId="60CB107D" w14:textId="04C12251" w:rsidR="00B939DE" w:rsidRDefault="00B939DE" w:rsidP="005E4248">
      <w:pPr>
        <w:pStyle w:val="02Authornames"/>
        <w:spacing w:line="240" w:lineRule="auto"/>
      </w:pPr>
      <w:r>
        <w:t>by</w:t>
      </w:r>
    </w:p>
    <w:p w14:paraId="16525055" w14:textId="576BE207" w:rsidR="005E4248" w:rsidRPr="001977A6" w:rsidRDefault="005E4248" w:rsidP="005E4248">
      <w:pPr>
        <w:pStyle w:val="02Authornames"/>
        <w:spacing w:line="240" w:lineRule="auto"/>
      </w:pPr>
      <w:r>
        <w:t>Sarah J. Bogart</w:t>
      </w:r>
      <w:r w:rsidRPr="006B0BC4">
        <w:rPr>
          <w:vertAlign w:val="superscript"/>
        </w:rPr>
        <w:t>1</w:t>
      </w:r>
      <w:r w:rsidRPr="008A3E60">
        <w:rPr>
          <w:vertAlign w:val="superscript"/>
        </w:rPr>
        <w:t>*</w:t>
      </w:r>
      <w:r>
        <w:t>, Ali Azizishirazi</w:t>
      </w:r>
      <w:r w:rsidRPr="006B0BC4">
        <w:rPr>
          <w:vertAlign w:val="superscript"/>
        </w:rPr>
        <w:t>2</w:t>
      </w:r>
      <w:r>
        <w:t>, and Greg G. Pyle</w:t>
      </w:r>
      <w:r w:rsidRPr="006B0BC4">
        <w:rPr>
          <w:vertAlign w:val="superscript"/>
        </w:rPr>
        <w:t>1</w:t>
      </w:r>
    </w:p>
    <w:p w14:paraId="349AC0E3" w14:textId="78D3640F" w:rsidR="005E4248" w:rsidRDefault="005E4248" w:rsidP="005E4248">
      <w:pPr>
        <w:pStyle w:val="03Authoraffiliation"/>
        <w:ind w:left="600" w:right="568"/>
      </w:pPr>
      <w:r w:rsidRPr="00656F39">
        <w:rPr>
          <w:vertAlign w:val="superscript"/>
        </w:rPr>
        <w:t>1</w:t>
      </w:r>
      <w:r>
        <w:t xml:space="preserve">Department of Biological Sciences, University of Lethbridge, 4401 University Drive, Lethbridge, Alberta, T1K 3M4, Canada; </w:t>
      </w:r>
      <w:r w:rsidRPr="00E14DF2">
        <w:t>*Author for correspondence (</w:t>
      </w:r>
      <w:hyperlink r:id="rId7" w:history="1">
        <w:r w:rsidRPr="00871753">
          <w:rPr>
            <w:rStyle w:val="Hyperlink"/>
          </w:rPr>
          <w:t>sarah.bogart@uleth.ca</w:t>
        </w:r>
      </w:hyperlink>
      <w:r w:rsidRPr="00E14DF2">
        <w:t>)</w:t>
      </w:r>
    </w:p>
    <w:p w14:paraId="2FE6A19A" w14:textId="77777777" w:rsidR="005E4248" w:rsidRDefault="005E4248" w:rsidP="005E4248">
      <w:pPr>
        <w:pStyle w:val="03Authoraffiliation"/>
        <w:ind w:left="600" w:right="568"/>
      </w:pPr>
      <w:r w:rsidRPr="00AD6859">
        <w:rPr>
          <w:vertAlign w:val="superscript"/>
        </w:rPr>
        <w:t>2</w:t>
      </w:r>
      <w:r w:rsidRPr="00656F39">
        <w:t>British Columbia Ministry of Environment and Climate Change Strategy, 525 Superior Street, Victoria, British Columbia</w:t>
      </w:r>
      <w:r>
        <w:t>,</w:t>
      </w:r>
      <w:r w:rsidRPr="00656F39">
        <w:t xml:space="preserve"> V8V 1T7, Canada</w:t>
      </w:r>
    </w:p>
    <w:p w14:paraId="13CE6418" w14:textId="663063A8" w:rsidR="00804CE7" w:rsidRDefault="00804CE7" w:rsidP="007A1441">
      <w:pPr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14:paraId="4F369271" w14:textId="77777777" w:rsidR="00242ECF" w:rsidRDefault="00242ECF" w:rsidP="007A1441">
      <w:pPr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14:paraId="6BE8A9AE" w14:textId="77777777" w:rsidR="00FB2F6D" w:rsidRDefault="00FB2F6D" w:rsidP="007A1441">
      <w:pPr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14:paraId="55D2BE3E" w14:textId="656673A1" w:rsidR="00FB2F6D" w:rsidRDefault="001B4414" w:rsidP="007A1441">
      <w:pPr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sectPr w:rsidR="00FB2F6D" w:rsidSect="00242ECF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Supporting Data S1</w:t>
      </w:r>
      <w:r w:rsidR="00FB2F6D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—</w:t>
      </w:r>
      <w:r w:rsidR="00FB2F6D">
        <w:rPr>
          <w:rFonts w:ascii="Palatino-Roman" w:hAnsi="Palatino-Roman" w:cs="Arial"/>
          <w:color w:val="333333"/>
          <w:shd w:val="clear" w:color="auto" w:fill="FFFFFF"/>
          <w:lang w:val="en-US"/>
        </w:rPr>
        <w:t>Please n</w:t>
      </w:r>
      <w:r w:rsidR="00FB2F6D" w:rsidRPr="00FB2F6D">
        <w:rPr>
          <w:rFonts w:ascii="Palatino-Roman" w:hAnsi="Palatino-Roman" w:cs="Arial"/>
          <w:color w:val="333333"/>
          <w:shd w:val="clear" w:color="auto" w:fill="FFFFFF"/>
          <w:lang w:val="en-US"/>
        </w:rPr>
        <w:t>ote that a separate .xls</w:t>
      </w:r>
      <w:r w:rsidR="008D05D2">
        <w:rPr>
          <w:rFonts w:ascii="Palatino-Roman" w:hAnsi="Palatino-Roman" w:cs="Arial"/>
          <w:color w:val="333333"/>
          <w:shd w:val="clear" w:color="auto" w:fill="FFFFFF"/>
          <w:lang w:val="en-US"/>
        </w:rPr>
        <w:t>x</w:t>
      </w:r>
      <w:r w:rsidR="00FB2F6D" w:rsidRPr="00FB2F6D">
        <w:rPr>
          <w:rFonts w:ascii="Palatino-Roman" w:hAnsi="Palatino-Roman" w:cs="Arial"/>
          <w:color w:val="333333"/>
          <w:shd w:val="clear" w:color="auto" w:fill="FFFFFF"/>
          <w:lang w:val="en-US"/>
        </w:rPr>
        <w:t xml:space="preserve"> file accompanies this document (Bogart et al_Supporting Data </w:t>
      </w:r>
      <w:r w:rsidR="00FB2F6D" w:rsidRPr="00D86A69">
        <w:rPr>
          <w:rFonts w:ascii="Palatino-Roman" w:hAnsi="Palatino-Roman" w:cs="Arial"/>
          <w:color w:val="333333"/>
          <w:shd w:val="clear" w:color="auto" w:fill="FFFFFF"/>
          <w:lang w:val="en-US"/>
        </w:rPr>
        <w:t>S1_Supplementary materials</w:t>
      </w:r>
      <w:r w:rsidR="00D86A69" w:rsidRPr="00D86A69">
        <w:rPr>
          <w:rFonts w:ascii="Palatino-Roman" w:hAnsi="Palatino-Roman" w:cs="Arial"/>
          <w:color w:val="333333"/>
          <w:shd w:val="clear" w:color="auto" w:fill="FFFFFF"/>
          <w:lang w:val="en-US"/>
        </w:rPr>
        <w:t>_</w:t>
      </w:r>
      <w:r w:rsidR="00BF68F8">
        <w:rPr>
          <w:rFonts w:ascii="Palatino-Roman" w:hAnsi="Palatino-Roman" w:cs="Arial"/>
          <w:color w:val="333333"/>
          <w:shd w:val="clear" w:color="auto" w:fill="FFFFFF"/>
          <w:lang w:val="en-US"/>
        </w:rPr>
        <w:t>Final</w:t>
      </w:r>
      <w:r w:rsidR="00102EA4" w:rsidRPr="00D86A69">
        <w:rPr>
          <w:rFonts w:ascii="Palatino-Roman" w:hAnsi="Palatino-Roman" w:cs="Arial"/>
          <w:color w:val="333333"/>
          <w:shd w:val="clear" w:color="auto" w:fill="FFFFFF"/>
          <w:lang w:val="en-US"/>
        </w:rPr>
        <w:t>.xls</w:t>
      </w:r>
      <w:r w:rsidR="008D05D2">
        <w:rPr>
          <w:rFonts w:ascii="Palatino-Roman" w:hAnsi="Palatino-Roman" w:cs="Arial"/>
          <w:color w:val="333333"/>
          <w:shd w:val="clear" w:color="auto" w:fill="FFFFFF"/>
          <w:lang w:val="en-US"/>
        </w:rPr>
        <w:t>x</w:t>
      </w:r>
      <w:bookmarkStart w:id="0" w:name="_GoBack"/>
      <w:bookmarkEnd w:id="0"/>
      <w:r w:rsidR="00FB2F6D" w:rsidRPr="00D86A69">
        <w:rPr>
          <w:rFonts w:ascii="Palatino-Roman" w:hAnsi="Palatino-Roman" w:cs="Arial"/>
          <w:color w:val="333333"/>
          <w:shd w:val="clear" w:color="auto" w:fill="FFFFFF"/>
          <w:lang w:val="en-US"/>
        </w:rPr>
        <w:t>),</w:t>
      </w:r>
      <w:r w:rsidR="00FB2F6D" w:rsidRPr="00FB2F6D">
        <w:rPr>
          <w:rFonts w:ascii="Palatino-Roman" w:hAnsi="Palatino-Roman" w:cs="Arial"/>
          <w:color w:val="333333"/>
          <w:shd w:val="clear" w:color="auto" w:fill="FFFFFF"/>
          <w:lang w:val="en-US"/>
        </w:rPr>
        <w:t xml:space="preserve"> which contains all datasets used</w:t>
      </w:r>
      <w:r w:rsidR="00FB2F6D">
        <w:rPr>
          <w:rFonts w:ascii="Palatino-Roman" w:hAnsi="Palatino-Roman" w:cs="Arial"/>
          <w:color w:val="333333"/>
          <w:shd w:val="clear" w:color="auto" w:fill="FFFFFF"/>
          <w:lang w:val="en-US"/>
        </w:rPr>
        <w:t xml:space="preserve"> and complete lists of articles collected, preliminarily screened, classified, and rejected</w:t>
      </w:r>
      <w:r w:rsidR="00FB2F6D" w:rsidRPr="00FB2F6D">
        <w:rPr>
          <w:rFonts w:ascii="Palatino-Roman" w:hAnsi="Palatino-Roman" w:cs="Arial"/>
          <w:color w:val="333333"/>
          <w:shd w:val="clear" w:color="auto" w:fill="FFFFFF"/>
          <w:lang w:val="en-US"/>
        </w:rPr>
        <w:t>.</w:t>
      </w:r>
    </w:p>
    <w:p w14:paraId="00995B09" w14:textId="76D49E88" w:rsidR="00415892" w:rsidRDefault="00415892" w:rsidP="007A1441">
      <w:pPr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14:paraId="7017B07B" w14:textId="5FB33C56" w:rsidR="00415892" w:rsidRDefault="00415892" w:rsidP="004158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D657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</w:t>
      </w:r>
      <w:r w:rsidRPr="00D65726">
        <w:rPr>
          <w:rFonts w:ascii="Times New Roman" w:hAnsi="Times New Roman" w:cs="Times New Roman"/>
          <w:lang w:val="en-US"/>
        </w:rPr>
        <w:t>Summary</w:t>
      </w:r>
      <w:r>
        <w:rPr>
          <w:rFonts w:ascii="Times New Roman" w:hAnsi="Times New Roman" w:cs="Times New Roman"/>
          <w:lang w:val="en-US"/>
        </w:rPr>
        <w:t xml:space="preserve"> data for regions and the province of British Columbia used to calculate and evaluate WQC by different appro</w:t>
      </w:r>
      <w:r w:rsidR="00BF68F8">
        <w:rPr>
          <w:rFonts w:ascii="Times New Roman" w:hAnsi="Times New Roman" w:cs="Times New Roman"/>
          <w:lang w:val="en-US"/>
        </w:rPr>
        <w:t xml:space="preserve">aches. These data represent those </w:t>
      </w:r>
      <w:r>
        <w:rPr>
          <w:rFonts w:ascii="Times New Roman" w:hAnsi="Times New Roman" w:cs="Times New Roman"/>
          <w:lang w:val="en-US"/>
        </w:rPr>
        <w:t xml:space="preserve">shown in Figure </w:t>
      </w:r>
      <w:r w:rsidR="00BF68F8">
        <w:rPr>
          <w:rFonts w:ascii="Times New Roman" w:hAnsi="Times New Roman" w:cs="Times New Roman"/>
          <w:lang w:val="en-US"/>
        </w:rPr>
        <w:t>1 of the main text</w:t>
      </w:r>
      <w:r>
        <w:rPr>
          <w:rFonts w:ascii="Times New Roman" w:hAnsi="Times New Roman" w:cs="Times New Roman"/>
          <w:lang w:val="en-US"/>
        </w:rPr>
        <w:t xml:space="preserve">, </w:t>
      </w:r>
      <w:r w:rsidR="00BF68F8">
        <w:rPr>
          <w:rFonts w:ascii="Times New Roman" w:hAnsi="Times New Roman" w:cs="Times New Roman"/>
          <w:lang w:val="en-US"/>
        </w:rPr>
        <w:t>for</w:t>
      </w:r>
      <w:r>
        <w:rPr>
          <w:rFonts w:ascii="Times New Roman" w:hAnsi="Times New Roman" w:cs="Times New Roman"/>
          <w:lang w:val="en-US"/>
        </w:rPr>
        <w:t xml:space="preserve"> stations that reported </w:t>
      </w:r>
      <w:r w:rsidR="00BF68F8">
        <w:rPr>
          <w:rFonts w:ascii="Times New Roman" w:hAnsi="Times New Roman" w:cs="Times New Roman"/>
          <w:lang w:val="en-US"/>
        </w:rPr>
        <w:t>both Ca and Mg</w:t>
      </w:r>
      <w:r>
        <w:rPr>
          <w:rFonts w:ascii="Times New Roman" w:hAnsi="Times New Roman" w:cs="Times New Roman"/>
          <w:lang w:val="en-US"/>
        </w:rPr>
        <w:t xml:space="preserve"> concentr</w:t>
      </w:r>
      <w:r w:rsidR="00BF68F8">
        <w:rPr>
          <w:rFonts w:ascii="Times New Roman" w:hAnsi="Times New Roman" w:cs="Times New Roman"/>
          <w:lang w:val="en-US"/>
        </w:rPr>
        <w:t>ations (samples were removed if Ca or Mg were not detected)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W w:w="13608" w:type="dxa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900"/>
        <w:gridCol w:w="540"/>
        <w:gridCol w:w="630"/>
        <w:gridCol w:w="709"/>
        <w:gridCol w:w="1001"/>
        <w:gridCol w:w="1080"/>
        <w:gridCol w:w="1080"/>
        <w:gridCol w:w="567"/>
        <w:gridCol w:w="603"/>
        <w:gridCol w:w="720"/>
        <w:gridCol w:w="1080"/>
        <w:gridCol w:w="1080"/>
        <w:gridCol w:w="1080"/>
      </w:tblGrid>
      <w:tr w:rsidR="00415892" w:rsidRPr="00C37AAD" w14:paraId="376375F1" w14:textId="77777777" w:rsidTr="00E8360B">
        <w:trPr>
          <w:trHeight w:val="282"/>
          <w:jc w:val="center"/>
        </w:trPr>
        <w:tc>
          <w:tcPr>
            <w:tcW w:w="1638" w:type="dxa"/>
            <w:vMerge w:val="restart"/>
            <w:noWrap/>
            <w:vAlign w:val="center"/>
            <w:hideMark/>
          </w:tcPr>
          <w:p w14:paraId="57DA55BE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vMerge w:val="restart"/>
            <w:noWrap/>
            <w:vAlign w:val="center"/>
            <w:hideMark/>
          </w:tcPr>
          <w:p w14:paraId="6E184BFD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# Stations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35280D51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# Samples</w:t>
            </w:r>
          </w:p>
        </w:tc>
        <w:tc>
          <w:tcPr>
            <w:tcW w:w="5040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C939F2F" w14:textId="5CE58451" w:rsidR="00415892" w:rsidRPr="00C37AAD" w:rsidRDefault="00345317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Water </w:t>
            </w:r>
            <w:r w:rsidR="00415892"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Hardness</w:t>
            </w:r>
          </w:p>
        </w:tc>
        <w:tc>
          <w:tcPr>
            <w:tcW w:w="5130" w:type="dxa"/>
            <w:gridSpan w:val="6"/>
            <w:tcBorders>
              <w:left w:val="single" w:sz="12" w:space="0" w:color="auto"/>
            </w:tcBorders>
            <w:vAlign w:val="center"/>
            <w:hideMark/>
          </w:tcPr>
          <w:p w14:paraId="264EC836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Ca:Mg Ratio</w:t>
            </w:r>
          </w:p>
        </w:tc>
      </w:tr>
      <w:tr w:rsidR="00415892" w:rsidRPr="00C37AAD" w14:paraId="3B33E9A4" w14:textId="77777777" w:rsidTr="00E8360B">
        <w:trPr>
          <w:trHeight w:val="282"/>
          <w:jc w:val="center"/>
        </w:trPr>
        <w:tc>
          <w:tcPr>
            <w:tcW w:w="1638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7DB06C79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743E5A8F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72522DA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06B6C543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Min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  <w:hideMark/>
          </w:tcPr>
          <w:p w14:paraId="2CBA5A6E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Max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  <w:hideMark/>
          </w:tcPr>
          <w:p w14:paraId="042C058E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Mean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vAlign w:val="center"/>
            <w:hideMark/>
          </w:tcPr>
          <w:p w14:paraId="27DDD907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Standard Deviation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  <w:hideMark/>
          </w:tcPr>
          <w:p w14:paraId="04DB9D1D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10</w:t>
            </w: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th</w:t>
            </w: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Percentile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8272485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90</w:t>
            </w: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th</w:t>
            </w: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Percentile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14:paraId="10B0EAFF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Min</w:t>
            </w:r>
          </w:p>
        </w:tc>
        <w:tc>
          <w:tcPr>
            <w:tcW w:w="603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6E33E2AB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Max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578BB680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Mean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  <w:hideMark/>
          </w:tcPr>
          <w:p w14:paraId="25E53A6C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Standard Deviation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  <w:hideMark/>
          </w:tcPr>
          <w:p w14:paraId="65FF069E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10</w:t>
            </w: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th</w:t>
            </w: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Percentile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  <w:hideMark/>
          </w:tcPr>
          <w:p w14:paraId="03ADBCE2" w14:textId="77777777" w:rsidR="00415892" w:rsidRPr="00C37AAD" w:rsidRDefault="00415892" w:rsidP="00102E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90</w:t>
            </w: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th</w:t>
            </w:r>
            <w:r w:rsidRPr="00C37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Percentile</w:t>
            </w:r>
          </w:p>
        </w:tc>
      </w:tr>
      <w:tr w:rsidR="00415892" w:rsidRPr="00C37AAD" w14:paraId="7EB6D585" w14:textId="77777777" w:rsidTr="00E8360B">
        <w:trPr>
          <w:trHeight w:val="288"/>
          <w:jc w:val="center"/>
        </w:trPr>
        <w:tc>
          <w:tcPr>
            <w:tcW w:w="1638" w:type="dxa"/>
            <w:tcBorders>
              <w:bottom w:val="nil"/>
            </w:tcBorders>
            <w:noWrap/>
            <w:vAlign w:val="center"/>
          </w:tcPr>
          <w:p w14:paraId="5197139E" w14:textId="77777777" w:rsidR="00415892" w:rsidRPr="00C37AAD" w:rsidRDefault="00415892" w:rsidP="00895E95">
            <w:pPr>
              <w:spacing w:afterLines="120" w:after="288" w:line="36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REGION</w:t>
            </w:r>
          </w:p>
        </w:tc>
        <w:tc>
          <w:tcPr>
            <w:tcW w:w="900" w:type="dxa"/>
            <w:tcBorders>
              <w:bottom w:val="nil"/>
            </w:tcBorders>
            <w:noWrap/>
            <w:vAlign w:val="center"/>
          </w:tcPr>
          <w:p w14:paraId="2BD8627A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  <w:noWrap/>
            <w:vAlign w:val="center"/>
          </w:tcPr>
          <w:p w14:paraId="2746A023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nil"/>
            </w:tcBorders>
            <w:noWrap/>
            <w:vAlign w:val="center"/>
          </w:tcPr>
          <w:p w14:paraId="5B7A32EF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7A00DAF4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DDCC492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nil"/>
            </w:tcBorders>
            <w:vAlign w:val="center"/>
          </w:tcPr>
          <w:p w14:paraId="696DC750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338443B2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  <w:right w:val="single" w:sz="12" w:space="0" w:color="auto"/>
            </w:tcBorders>
            <w:vAlign w:val="center"/>
          </w:tcPr>
          <w:p w14:paraId="7425D243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14:paraId="6A0042EF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nil"/>
            </w:tcBorders>
            <w:noWrap/>
            <w:vAlign w:val="center"/>
          </w:tcPr>
          <w:p w14:paraId="2714A890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  <w:noWrap/>
            <w:vAlign w:val="center"/>
          </w:tcPr>
          <w:p w14:paraId="5E9358B4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55BEDAAA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15D78D78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095AE2AE" w14:textId="77777777" w:rsidR="00415892" w:rsidRPr="00E00F50" w:rsidRDefault="00415892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A317D7" w:rsidRPr="00C37AAD" w14:paraId="1F3D533B" w14:textId="77777777" w:rsidTr="00E8360B">
        <w:trPr>
          <w:trHeight w:val="288"/>
          <w:jc w:val="center"/>
        </w:trPr>
        <w:tc>
          <w:tcPr>
            <w:tcW w:w="16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2A44E1" w14:textId="00016D9C" w:rsidR="00A317D7" w:rsidRPr="00895E95" w:rsidRDefault="00A317D7" w:rsidP="00895E95">
            <w:pPr>
              <w:spacing w:afterLines="120" w:after="288" w:line="360" w:lineRule="auto"/>
              <w:contextualSpacing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95E95">
              <w:rPr>
                <w:rFonts w:cstheme="minorHAnsi"/>
                <w:sz w:val="20"/>
                <w:szCs w:val="20"/>
              </w:rPr>
              <w:t>Cariboo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A1456E" w14:textId="34195857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noWrap/>
            <w:vAlign w:val="center"/>
          </w:tcPr>
          <w:p w14:paraId="34F150B2" w14:textId="10941BE9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1940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</w:tcBorders>
            <w:noWrap/>
            <w:vAlign w:val="center"/>
            <w:hideMark/>
          </w:tcPr>
          <w:p w14:paraId="28B19E4C" w14:textId="0D047BB5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  <w:hideMark/>
          </w:tcPr>
          <w:p w14:paraId="41129716" w14:textId="41FBC1F2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569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  <w:hideMark/>
          </w:tcPr>
          <w:p w14:paraId="013AF9CB" w14:textId="17AF03DC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97.6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center"/>
            <w:hideMark/>
          </w:tcPr>
          <w:p w14:paraId="4E8D8935" w14:textId="32DEBF15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10</w:t>
            </w:r>
            <w:r w:rsidR="00F970F3" w:rsidRPr="000C20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26D59365" w14:textId="656D72B5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14:paraId="6A844029" w14:textId="30F51234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14:paraId="6E9E671E" w14:textId="1CDE06B2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0.1</w:t>
            </w:r>
          </w:p>
        </w:tc>
        <w:tc>
          <w:tcPr>
            <w:tcW w:w="60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E6DE43" w14:textId="62438B83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E98DA1" w14:textId="0403A66B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4.7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16EB1270" w14:textId="6B1A2749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3.3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532F07F6" w14:textId="7E448BBE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4E5147D3" w14:textId="14F1365E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8.9</w:t>
            </w:r>
          </w:p>
        </w:tc>
      </w:tr>
      <w:tr w:rsidR="00A317D7" w:rsidRPr="00C37AAD" w14:paraId="696C12F6" w14:textId="77777777" w:rsidTr="00E8360B">
        <w:trPr>
          <w:trHeight w:val="584"/>
          <w:jc w:val="center"/>
        </w:trPr>
        <w:tc>
          <w:tcPr>
            <w:tcW w:w="16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AEAF4A" w14:textId="415E2F9D" w:rsidR="00A317D7" w:rsidRPr="00895E95" w:rsidRDefault="00A317D7" w:rsidP="00895E95">
            <w:pPr>
              <w:spacing w:afterLines="120" w:after="288" w:line="360" w:lineRule="auto"/>
              <w:contextualSpacing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95E95">
              <w:rPr>
                <w:rFonts w:cstheme="minorHAnsi"/>
                <w:sz w:val="20"/>
                <w:szCs w:val="20"/>
              </w:rPr>
              <w:t>Kootenay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876DD7" w14:textId="47122F2A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noWrap/>
            <w:vAlign w:val="center"/>
          </w:tcPr>
          <w:p w14:paraId="0C8DC7A5" w14:textId="127194C9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664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</w:tcBorders>
            <w:noWrap/>
            <w:vAlign w:val="center"/>
            <w:hideMark/>
          </w:tcPr>
          <w:p w14:paraId="3630C60E" w14:textId="162BB93C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7.3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  <w:hideMark/>
          </w:tcPr>
          <w:p w14:paraId="082ADB02" w14:textId="3D8BD395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  <w:hideMark/>
          </w:tcPr>
          <w:p w14:paraId="6F209FFC" w14:textId="24DAAC9C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85.7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center"/>
            <w:hideMark/>
          </w:tcPr>
          <w:p w14:paraId="51A67298" w14:textId="0A8A48AC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60.6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7987085B" w14:textId="465A4F54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24.4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14:paraId="4C5894C7" w14:textId="4CB5E4A0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14:paraId="7D506ABC" w14:textId="2F6E92FA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2.6</w:t>
            </w:r>
          </w:p>
        </w:tc>
        <w:tc>
          <w:tcPr>
            <w:tcW w:w="60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1BA357" w14:textId="420A5584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17.5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55E997" w14:textId="320ECB56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5.8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36EF2D68" w14:textId="71422256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2.9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10ADC9D3" w14:textId="67F09F29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76244B5D" w14:textId="28B39133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9.0</w:t>
            </w:r>
          </w:p>
        </w:tc>
      </w:tr>
      <w:tr w:rsidR="00A317D7" w:rsidRPr="00C37AAD" w14:paraId="2DA78C51" w14:textId="77777777" w:rsidTr="00E8360B">
        <w:trPr>
          <w:trHeight w:val="288"/>
          <w:jc w:val="center"/>
        </w:trPr>
        <w:tc>
          <w:tcPr>
            <w:tcW w:w="16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206206" w14:textId="2E3715C4" w:rsidR="00A317D7" w:rsidRPr="00895E95" w:rsidRDefault="00A317D7" w:rsidP="00895E95">
            <w:pPr>
              <w:spacing w:afterLines="120" w:after="288" w:line="360" w:lineRule="auto"/>
              <w:contextualSpacing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95E95">
              <w:rPr>
                <w:rFonts w:cstheme="minorHAnsi"/>
                <w:sz w:val="20"/>
                <w:szCs w:val="20"/>
              </w:rPr>
              <w:t>Lower Mainland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5D6748" w14:textId="5C81CAD5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noWrap/>
            <w:vAlign w:val="center"/>
          </w:tcPr>
          <w:p w14:paraId="1D500C9A" w14:textId="495E43FD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</w:tcBorders>
            <w:noWrap/>
            <w:vAlign w:val="center"/>
          </w:tcPr>
          <w:p w14:paraId="23002273" w14:textId="37AC6AE7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7365996" w14:textId="3CCF7BF7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B17B817" w14:textId="6D8666AC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66.1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center"/>
          </w:tcPr>
          <w:p w14:paraId="37FE3A13" w14:textId="09C60916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63.7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F06BE13" w14:textId="698B4E83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6.5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B6AA35" w14:textId="7405C685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15</w:t>
            </w:r>
            <w:r w:rsidR="00F970F3" w:rsidRPr="000C20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AC7BC8" w14:textId="50EA5D88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2.0</w:t>
            </w:r>
          </w:p>
        </w:tc>
        <w:tc>
          <w:tcPr>
            <w:tcW w:w="603" w:type="dxa"/>
            <w:tcBorders>
              <w:top w:val="nil"/>
              <w:bottom w:val="nil"/>
            </w:tcBorders>
            <w:noWrap/>
            <w:vAlign w:val="center"/>
          </w:tcPr>
          <w:p w14:paraId="7615A143" w14:textId="581DA4F8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27.9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</w:tcPr>
          <w:p w14:paraId="36D87FFA" w14:textId="58552468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7.0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AB25E62" w14:textId="403AB29B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7DB90CC" w14:textId="62A2D51D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4EA89E" w14:textId="15A67019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17.2</w:t>
            </w:r>
          </w:p>
        </w:tc>
      </w:tr>
      <w:tr w:rsidR="00A317D7" w:rsidRPr="00C37AAD" w14:paraId="2F2065A1" w14:textId="77777777" w:rsidTr="00E8360B">
        <w:trPr>
          <w:trHeight w:val="288"/>
          <w:jc w:val="center"/>
        </w:trPr>
        <w:tc>
          <w:tcPr>
            <w:tcW w:w="16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BECDE1" w14:textId="50CA609B" w:rsidR="00A317D7" w:rsidRPr="00895E95" w:rsidRDefault="00A317D7" w:rsidP="00895E95">
            <w:pPr>
              <w:spacing w:afterLines="120" w:after="288" w:line="360" w:lineRule="auto"/>
              <w:contextualSpacing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95E95">
              <w:rPr>
                <w:rFonts w:cstheme="minorHAnsi"/>
                <w:sz w:val="20"/>
                <w:szCs w:val="20"/>
              </w:rPr>
              <w:t>Okanagan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ECEB09" w14:textId="48B4B572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noWrap/>
            <w:vAlign w:val="center"/>
          </w:tcPr>
          <w:p w14:paraId="0D0177E3" w14:textId="6E9D9A2F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583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</w:tcBorders>
            <w:noWrap/>
            <w:vAlign w:val="center"/>
          </w:tcPr>
          <w:p w14:paraId="0C60FB1C" w14:textId="019A4AC6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17.1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F8E2B1F" w14:textId="301A4892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636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C194F2F" w14:textId="0F6586BD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13</w:t>
            </w:r>
            <w:r w:rsidR="00F970F3" w:rsidRPr="000C20C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center"/>
          </w:tcPr>
          <w:p w14:paraId="41FF688F" w14:textId="18138B44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E5B0F69" w14:textId="54B679FE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25.5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6B2AB5" w14:textId="41092596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</w:t>
            </w:r>
            <w:r w:rsidR="00F970F3" w:rsidRPr="000C20C1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520319" w14:textId="42322F92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0.6</w:t>
            </w:r>
          </w:p>
        </w:tc>
        <w:tc>
          <w:tcPr>
            <w:tcW w:w="603" w:type="dxa"/>
            <w:tcBorders>
              <w:top w:val="nil"/>
              <w:bottom w:val="nil"/>
            </w:tcBorders>
            <w:noWrap/>
            <w:vAlign w:val="center"/>
          </w:tcPr>
          <w:p w14:paraId="5D4DA967" w14:textId="37BB28CE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</w:tcPr>
          <w:p w14:paraId="0768ADA9" w14:textId="3C351125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5.6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5DAECAF" w14:textId="4ADC89C8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AB6C992" w14:textId="234C3EA4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1.9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5FB144" w14:textId="43A699AC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9.8</w:t>
            </w:r>
          </w:p>
        </w:tc>
      </w:tr>
      <w:tr w:rsidR="00A317D7" w:rsidRPr="00C37AAD" w14:paraId="1EC7A5C7" w14:textId="77777777" w:rsidTr="00E8360B">
        <w:trPr>
          <w:trHeight w:val="288"/>
          <w:jc w:val="center"/>
        </w:trPr>
        <w:tc>
          <w:tcPr>
            <w:tcW w:w="16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E7A8DC" w14:textId="75659CB0" w:rsidR="00A317D7" w:rsidRPr="00895E95" w:rsidRDefault="00A317D7" w:rsidP="00895E95">
            <w:pPr>
              <w:spacing w:afterLines="120" w:after="288" w:line="360" w:lineRule="auto"/>
              <w:contextualSpacing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95E95">
              <w:rPr>
                <w:rFonts w:cstheme="minorHAnsi"/>
                <w:sz w:val="20"/>
                <w:szCs w:val="20"/>
              </w:rPr>
              <w:t>Omineca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45AB75" w14:textId="628B75BE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noWrap/>
            <w:vAlign w:val="center"/>
          </w:tcPr>
          <w:p w14:paraId="1DCF6F70" w14:textId="3C3C6B73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270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</w:tcBorders>
            <w:noWrap/>
            <w:vAlign w:val="center"/>
          </w:tcPr>
          <w:p w14:paraId="39F2DD8D" w14:textId="2454E8F7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20.8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52A371A" w14:textId="0312D954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F90A1DC" w14:textId="15148ED4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</w:t>
            </w:r>
            <w:r w:rsidR="00F970F3" w:rsidRPr="000C20C1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center"/>
          </w:tcPr>
          <w:p w14:paraId="5A9E3E5A" w14:textId="67D058CD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69.6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3CADCD7" w14:textId="71C63B73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45.0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86C4ED" w14:textId="1E8A7AB6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20</w:t>
            </w:r>
            <w:r w:rsidR="00F970F3" w:rsidRPr="000C20C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3D8102" w14:textId="5C37D869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1.8</w:t>
            </w:r>
          </w:p>
        </w:tc>
        <w:tc>
          <w:tcPr>
            <w:tcW w:w="603" w:type="dxa"/>
            <w:tcBorders>
              <w:top w:val="nil"/>
              <w:bottom w:val="nil"/>
            </w:tcBorders>
            <w:noWrap/>
            <w:vAlign w:val="center"/>
          </w:tcPr>
          <w:p w14:paraId="238AD317" w14:textId="7ECC59A7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10.1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</w:tcPr>
          <w:p w14:paraId="1FD0D706" w14:textId="6F8231C2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3.6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9D5C777" w14:textId="72B790F6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951E23F" w14:textId="6A0B10F5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5613F57" w14:textId="37BD113C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4.9</w:t>
            </w:r>
          </w:p>
        </w:tc>
      </w:tr>
      <w:tr w:rsidR="00A317D7" w:rsidRPr="00C37AAD" w14:paraId="2390E4F0" w14:textId="77777777" w:rsidTr="00E8360B">
        <w:trPr>
          <w:trHeight w:val="288"/>
          <w:jc w:val="center"/>
        </w:trPr>
        <w:tc>
          <w:tcPr>
            <w:tcW w:w="16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2F8D78" w14:textId="340CC048" w:rsidR="00A317D7" w:rsidRPr="00895E95" w:rsidRDefault="00A317D7" w:rsidP="00895E95">
            <w:pPr>
              <w:spacing w:afterLines="120" w:after="288" w:line="360" w:lineRule="auto"/>
              <w:contextualSpacing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95E95">
              <w:rPr>
                <w:rFonts w:cstheme="minorHAnsi"/>
                <w:sz w:val="20"/>
                <w:szCs w:val="20"/>
              </w:rPr>
              <w:t>Peace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532E0D" w14:textId="7AFD937B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noWrap/>
            <w:vAlign w:val="center"/>
          </w:tcPr>
          <w:p w14:paraId="4D1A937F" w14:textId="12178807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</w:tcBorders>
            <w:noWrap/>
            <w:vAlign w:val="center"/>
          </w:tcPr>
          <w:p w14:paraId="0F9942D6" w14:textId="06375070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34.8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5A5BB1A" w14:textId="3F60D9E4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95.3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2078021" w14:textId="2142F916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65.9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center"/>
          </w:tcPr>
          <w:p w14:paraId="34CB47DB" w14:textId="29A854F0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5907C8A" w14:textId="5DE03E9C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36.8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06AE1F" w14:textId="61AA1A7C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94.3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52BBFE" w14:textId="4E76BF0B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2.0</w:t>
            </w:r>
          </w:p>
        </w:tc>
        <w:tc>
          <w:tcPr>
            <w:tcW w:w="603" w:type="dxa"/>
            <w:tcBorders>
              <w:top w:val="nil"/>
              <w:bottom w:val="nil"/>
            </w:tcBorders>
            <w:noWrap/>
            <w:vAlign w:val="center"/>
          </w:tcPr>
          <w:p w14:paraId="6B02EC38" w14:textId="5ED76E69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5.0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</w:tcPr>
          <w:p w14:paraId="6A2CFE60" w14:textId="4B16314D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B27A794" w14:textId="773C6E44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1.7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B54B887" w14:textId="30842E1E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C37CBC4" w14:textId="00AC3836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5.0</w:t>
            </w:r>
          </w:p>
        </w:tc>
      </w:tr>
      <w:tr w:rsidR="00A317D7" w:rsidRPr="00C37AAD" w14:paraId="581A4F75" w14:textId="77777777" w:rsidTr="00E8360B">
        <w:trPr>
          <w:trHeight w:val="288"/>
          <w:jc w:val="center"/>
        </w:trPr>
        <w:tc>
          <w:tcPr>
            <w:tcW w:w="16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AB90A6" w14:textId="7B2DCE73" w:rsidR="00A317D7" w:rsidRPr="00895E95" w:rsidRDefault="00A317D7" w:rsidP="00895E95">
            <w:pPr>
              <w:spacing w:afterLines="120" w:after="288" w:line="360" w:lineRule="auto"/>
              <w:contextualSpacing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95E95">
              <w:rPr>
                <w:rFonts w:cstheme="minorHAnsi"/>
                <w:sz w:val="20"/>
                <w:szCs w:val="20"/>
              </w:rPr>
              <w:t>Skeena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D8F264" w14:textId="2CC5D2E1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noWrap/>
            <w:vAlign w:val="center"/>
          </w:tcPr>
          <w:p w14:paraId="75D7C81B" w14:textId="43ED0596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850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</w:tcBorders>
            <w:noWrap/>
            <w:vAlign w:val="center"/>
          </w:tcPr>
          <w:p w14:paraId="7224B595" w14:textId="43701132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2.0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557060D" w14:textId="2B59BA72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68FCA01" w14:textId="0C9E4384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42.4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center"/>
          </w:tcPr>
          <w:p w14:paraId="05458BCB" w14:textId="07D6B5C1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37.6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8108EEF" w14:textId="5C2B5CDF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6.4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485CC4" w14:textId="61640654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88.3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1B7AF0" w14:textId="03CC5C49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603" w:type="dxa"/>
            <w:tcBorders>
              <w:top w:val="nil"/>
              <w:bottom w:val="nil"/>
            </w:tcBorders>
            <w:noWrap/>
            <w:vAlign w:val="center"/>
          </w:tcPr>
          <w:p w14:paraId="7E47F158" w14:textId="75F3A8F1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31.7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</w:tcPr>
          <w:p w14:paraId="2902CAF6" w14:textId="1C1F4073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30FAEF" w14:textId="51B48EAF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4.9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178C2C" w14:textId="2B77D0A5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2.7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F695CD0" w14:textId="50B0080D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11.8</w:t>
            </w:r>
          </w:p>
        </w:tc>
      </w:tr>
      <w:tr w:rsidR="00A317D7" w:rsidRPr="00C37AAD" w14:paraId="7ABFD33D" w14:textId="77777777" w:rsidTr="00E8360B">
        <w:trPr>
          <w:trHeight w:val="288"/>
          <w:jc w:val="center"/>
        </w:trPr>
        <w:tc>
          <w:tcPr>
            <w:tcW w:w="163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6728AE" w14:textId="6D35E3F6" w:rsidR="00A317D7" w:rsidRPr="00895E95" w:rsidRDefault="00A317D7" w:rsidP="00895E95">
            <w:pPr>
              <w:spacing w:afterLines="120" w:after="288" w:line="360" w:lineRule="auto"/>
              <w:contextualSpacing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95E95">
              <w:rPr>
                <w:rFonts w:cstheme="minorHAnsi"/>
                <w:sz w:val="20"/>
                <w:szCs w:val="20"/>
              </w:rPr>
              <w:t>Southern Interior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904147" w14:textId="448A5E1A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noWrap/>
            <w:vAlign w:val="center"/>
          </w:tcPr>
          <w:p w14:paraId="2D24FEC3" w14:textId="05911EB5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378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</w:tcBorders>
            <w:noWrap/>
            <w:vAlign w:val="center"/>
          </w:tcPr>
          <w:p w14:paraId="7F4E3AA1" w14:textId="435DDBFB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15.2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72C30BD" w14:textId="483323CA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556C568" w14:textId="3F6A10F2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center"/>
          </w:tcPr>
          <w:p w14:paraId="1CE025A3" w14:textId="43FAC5B5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166.5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E10A59F" w14:textId="6342D9ED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17.7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AEA293" w14:textId="72D72E57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18</w:t>
            </w:r>
            <w:r w:rsidR="00F970F3" w:rsidRPr="000C20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9FA4C4" w14:textId="76A82A2D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1.7</w:t>
            </w:r>
          </w:p>
        </w:tc>
        <w:tc>
          <w:tcPr>
            <w:tcW w:w="603" w:type="dxa"/>
            <w:tcBorders>
              <w:top w:val="nil"/>
              <w:bottom w:val="nil"/>
            </w:tcBorders>
            <w:noWrap/>
            <w:vAlign w:val="center"/>
          </w:tcPr>
          <w:p w14:paraId="6C80B1FE" w14:textId="03795669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36.8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</w:tcPr>
          <w:p w14:paraId="20393F5B" w14:textId="236DF8B0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8.6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40570E" w14:textId="53223E8B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8.3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2589B7C" w14:textId="475C6732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51D75C" w14:textId="10A85D10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17.6</w:t>
            </w:r>
          </w:p>
        </w:tc>
      </w:tr>
      <w:tr w:rsidR="00A317D7" w:rsidRPr="00C37AAD" w14:paraId="147AF9F4" w14:textId="77777777" w:rsidTr="00E8360B">
        <w:trPr>
          <w:trHeight w:val="288"/>
          <w:jc w:val="center"/>
        </w:trPr>
        <w:tc>
          <w:tcPr>
            <w:tcW w:w="1638" w:type="dxa"/>
            <w:tcBorders>
              <w:top w:val="nil"/>
            </w:tcBorders>
            <w:noWrap/>
            <w:vAlign w:val="center"/>
            <w:hideMark/>
          </w:tcPr>
          <w:p w14:paraId="2C17BDCD" w14:textId="71775ECD" w:rsidR="00A317D7" w:rsidRPr="00895E95" w:rsidRDefault="00A317D7" w:rsidP="00895E95">
            <w:pPr>
              <w:spacing w:afterLines="120" w:after="288" w:line="360" w:lineRule="auto"/>
              <w:contextualSpacing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95E95">
              <w:rPr>
                <w:rFonts w:cstheme="minorHAnsi"/>
                <w:sz w:val="20"/>
                <w:szCs w:val="20"/>
              </w:rPr>
              <w:t>Vancouver Island</w:t>
            </w:r>
          </w:p>
        </w:tc>
        <w:tc>
          <w:tcPr>
            <w:tcW w:w="900" w:type="dxa"/>
            <w:tcBorders>
              <w:top w:val="nil"/>
            </w:tcBorders>
            <w:noWrap/>
            <w:vAlign w:val="center"/>
            <w:hideMark/>
          </w:tcPr>
          <w:p w14:paraId="25D93804" w14:textId="4FBC8D13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  <w:noWrap/>
            <w:vAlign w:val="center"/>
          </w:tcPr>
          <w:p w14:paraId="1946C36D" w14:textId="48583395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2063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</w:tcBorders>
            <w:noWrap/>
            <w:vAlign w:val="center"/>
            <w:hideMark/>
          </w:tcPr>
          <w:p w14:paraId="4AC3FB7F" w14:textId="255DD8FC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4.4</w:t>
            </w:r>
          </w:p>
        </w:tc>
        <w:tc>
          <w:tcPr>
            <w:tcW w:w="630" w:type="dxa"/>
            <w:tcBorders>
              <w:top w:val="nil"/>
            </w:tcBorders>
            <w:vAlign w:val="center"/>
            <w:hideMark/>
          </w:tcPr>
          <w:p w14:paraId="5B941B3D" w14:textId="0F8BD6A9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nil"/>
            </w:tcBorders>
            <w:vAlign w:val="center"/>
            <w:hideMark/>
          </w:tcPr>
          <w:p w14:paraId="5BE5E6C6" w14:textId="1FB3F80C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27.4</w:t>
            </w:r>
          </w:p>
        </w:tc>
        <w:tc>
          <w:tcPr>
            <w:tcW w:w="1001" w:type="dxa"/>
            <w:tcBorders>
              <w:top w:val="nil"/>
            </w:tcBorders>
            <w:vAlign w:val="center"/>
            <w:hideMark/>
          </w:tcPr>
          <w:p w14:paraId="1DD31E30" w14:textId="63F818A6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27.3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14:paraId="4739CC43" w14:textId="2477DDFD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7.4</w:t>
            </w:r>
          </w:p>
        </w:tc>
        <w:tc>
          <w:tcPr>
            <w:tcW w:w="1080" w:type="dxa"/>
            <w:tcBorders>
              <w:top w:val="nil"/>
              <w:right w:val="single" w:sz="12" w:space="0" w:color="auto"/>
            </w:tcBorders>
            <w:vAlign w:val="center"/>
            <w:hideMark/>
          </w:tcPr>
          <w:p w14:paraId="0F5E025B" w14:textId="07D4FECE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65.0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</w:tcBorders>
            <w:vAlign w:val="center"/>
            <w:hideMark/>
          </w:tcPr>
          <w:p w14:paraId="248D12A2" w14:textId="5BE3E981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2.5</w:t>
            </w:r>
          </w:p>
        </w:tc>
        <w:tc>
          <w:tcPr>
            <w:tcW w:w="603" w:type="dxa"/>
            <w:tcBorders>
              <w:top w:val="nil"/>
            </w:tcBorders>
            <w:noWrap/>
            <w:vAlign w:val="center"/>
            <w:hideMark/>
          </w:tcPr>
          <w:p w14:paraId="5310A5D2" w14:textId="00B9C2FE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24.2</w:t>
            </w:r>
          </w:p>
        </w:tc>
        <w:tc>
          <w:tcPr>
            <w:tcW w:w="720" w:type="dxa"/>
            <w:tcBorders>
              <w:top w:val="nil"/>
            </w:tcBorders>
            <w:noWrap/>
            <w:vAlign w:val="center"/>
            <w:hideMark/>
          </w:tcPr>
          <w:p w14:paraId="40B64261" w14:textId="78F907EC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6.6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14:paraId="2B1D5BF4" w14:textId="357EF0C0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3.8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14:paraId="205D7BE1" w14:textId="6C63A04C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3.0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14:paraId="3D663138" w14:textId="149D67BB" w:rsidR="00A317D7" w:rsidRPr="000C20C1" w:rsidRDefault="00A317D7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C20C1">
              <w:rPr>
                <w:rFonts w:cstheme="minorHAnsi"/>
                <w:sz w:val="18"/>
                <w:szCs w:val="18"/>
              </w:rPr>
              <w:t>10.8</w:t>
            </w:r>
          </w:p>
        </w:tc>
      </w:tr>
      <w:tr w:rsidR="00895E95" w:rsidRPr="00C37AAD" w14:paraId="7FEFE4DD" w14:textId="77777777" w:rsidTr="00E8360B">
        <w:trPr>
          <w:trHeight w:val="288"/>
          <w:jc w:val="center"/>
        </w:trPr>
        <w:tc>
          <w:tcPr>
            <w:tcW w:w="1638" w:type="dxa"/>
            <w:noWrap/>
            <w:vAlign w:val="center"/>
            <w:hideMark/>
          </w:tcPr>
          <w:p w14:paraId="4CD3B97E" w14:textId="77777777" w:rsidR="00895E95" w:rsidRPr="00895E95" w:rsidRDefault="00895E95" w:rsidP="00895E95">
            <w:pPr>
              <w:spacing w:afterLines="120" w:after="288" w:line="360" w:lineRule="auto"/>
              <w:contextualSpacing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95E95">
              <w:rPr>
                <w:rFonts w:eastAsia="Calibri" w:cstheme="minorHAnsi"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900" w:type="dxa"/>
            <w:noWrap/>
            <w:vAlign w:val="center"/>
            <w:hideMark/>
          </w:tcPr>
          <w:p w14:paraId="717FE4EC" w14:textId="7E5A5E61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546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noWrap/>
            <w:vAlign w:val="center"/>
          </w:tcPr>
          <w:p w14:paraId="527E1CE2" w14:textId="18DF9306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6972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noWrap/>
            <w:vAlign w:val="center"/>
          </w:tcPr>
          <w:p w14:paraId="4B26DA59" w14:textId="3AE61BC9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2.0</w:t>
            </w:r>
          </w:p>
        </w:tc>
        <w:tc>
          <w:tcPr>
            <w:tcW w:w="630" w:type="dxa"/>
            <w:vAlign w:val="center"/>
          </w:tcPr>
          <w:p w14:paraId="2C9376C7" w14:textId="187DBB94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78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0408018" w14:textId="4E1A8146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70.1</w:t>
            </w:r>
          </w:p>
        </w:tc>
        <w:tc>
          <w:tcPr>
            <w:tcW w:w="1001" w:type="dxa"/>
            <w:vAlign w:val="center"/>
          </w:tcPr>
          <w:p w14:paraId="357EDD5B" w14:textId="0EA4746E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84.7</w:t>
            </w:r>
          </w:p>
        </w:tc>
        <w:tc>
          <w:tcPr>
            <w:tcW w:w="1080" w:type="dxa"/>
            <w:vAlign w:val="center"/>
          </w:tcPr>
          <w:p w14:paraId="5EFEAE38" w14:textId="3D440F12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9.7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B6E8317" w14:textId="29F5B602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9A80704" w14:textId="6A547F59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0.1</w:t>
            </w:r>
          </w:p>
        </w:tc>
        <w:tc>
          <w:tcPr>
            <w:tcW w:w="603" w:type="dxa"/>
            <w:noWrap/>
            <w:vAlign w:val="center"/>
          </w:tcPr>
          <w:p w14:paraId="0E21C919" w14:textId="7A609C26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36.8</w:t>
            </w:r>
          </w:p>
        </w:tc>
        <w:tc>
          <w:tcPr>
            <w:tcW w:w="720" w:type="dxa"/>
            <w:noWrap/>
            <w:vAlign w:val="center"/>
          </w:tcPr>
          <w:p w14:paraId="412C70BD" w14:textId="00B26DDD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5.9</w:t>
            </w:r>
          </w:p>
        </w:tc>
        <w:tc>
          <w:tcPr>
            <w:tcW w:w="1080" w:type="dxa"/>
            <w:vAlign w:val="center"/>
          </w:tcPr>
          <w:p w14:paraId="60EDE663" w14:textId="5EC7CAA5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4.4</w:t>
            </w:r>
          </w:p>
        </w:tc>
        <w:tc>
          <w:tcPr>
            <w:tcW w:w="1080" w:type="dxa"/>
            <w:vAlign w:val="center"/>
          </w:tcPr>
          <w:p w14:paraId="21AC5B1A" w14:textId="2E747661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2.3</w:t>
            </w:r>
          </w:p>
        </w:tc>
        <w:tc>
          <w:tcPr>
            <w:tcW w:w="1080" w:type="dxa"/>
            <w:vAlign w:val="center"/>
          </w:tcPr>
          <w:p w14:paraId="6C2FC6F0" w14:textId="00E2095C" w:rsidR="00895E95" w:rsidRPr="00895E95" w:rsidRDefault="00895E95" w:rsidP="00895E95">
            <w:pPr>
              <w:spacing w:afterLines="120" w:after="288" w:line="36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5E95">
              <w:rPr>
                <w:rFonts w:cstheme="minorHAnsi"/>
                <w:sz w:val="18"/>
                <w:szCs w:val="18"/>
              </w:rPr>
              <w:t>10.2</w:t>
            </w:r>
          </w:p>
        </w:tc>
      </w:tr>
    </w:tbl>
    <w:p w14:paraId="312BDFE8" w14:textId="77777777" w:rsidR="00415892" w:rsidRDefault="00415892" w:rsidP="00415892">
      <w:pPr>
        <w:rPr>
          <w:rFonts w:ascii="Times New Roman" w:hAnsi="Times New Roman" w:cs="Times New Roman"/>
          <w:lang w:val="en-US"/>
        </w:rPr>
      </w:pPr>
    </w:p>
    <w:p w14:paraId="0EDF1565" w14:textId="56727903" w:rsidR="00415892" w:rsidRDefault="00415892" w:rsidP="007A1441">
      <w:pPr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sectPr w:rsidR="00415892" w:rsidSect="0041589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3313AF5" w14:textId="6BAAB498" w:rsidR="00804CE7" w:rsidRDefault="00804CE7" w:rsidP="007A1441">
      <w:pPr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14:paraId="1A887830" w14:textId="38FE8F37" w:rsidR="00422A5F" w:rsidRPr="00422A5F" w:rsidRDefault="00422A5F" w:rsidP="007A1441">
      <w:pPr>
        <w:rPr>
          <w:rFonts w:ascii="Times New Roman" w:hAnsi="Times New Roman" w:cs="Times New Roman"/>
          <w:lang w:val="en-US"/>
        </w:rPr>
      </w:pPr>
      <w:r w:rsidRPr="00350569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Table S</w:t>
      </w:r>
      <w:r w:rsidR="009104FC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2</w:t>
      </w:r>
      <w:r w:rsidRPr="00350569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.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E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ndpoints used 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for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SSD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s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in Fig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ure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4</w:t>
      </w:r>
      <w:r w:rsidR="00B62CD2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a, b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</w:t>
      </w:r>
      <w:r w:rsidR="00B170D2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including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acute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(A)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and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/or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chronic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(C)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data</w:t>
      </w:r>
      <w:r w:rsidR="001426C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, respectively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.</w:t>
      </w:r>
    </w:p>
    <w:tbl>
      <w:tblPr>
        <w:tblW w:w="7290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3150"/>
        <w:gridCol w:w="1800"/>
      </w:tblGrid>
      <w:tr w:rsidR="00422A5F" w:rsidRPr="001965B1" w14:paraId="392ED0A0" w14:textId="77777777" w:rsidTr="00843614">
        <w:trPr>
          <w:jc w:val="center"/>
        </w:trPr>
        <w:tc>
          <w:tcPr>
            <w:tcW w:w="234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778C0E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  <w:t>Species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44948F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  <w:t>Endpoint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3F084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  <w:t>Water Hardness (mg/L as CaCO</w:t>
            </w:r>
            <w:r w:rsidRPr="001965B1"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vertAlign w:val="subscript"/>
                <w:lang w:val="en-CA"/>
              </w:rPr>
              <w:t>3</w:t>
            </w:r>
            <w:r w:rsidRPr="001965B1"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  <w:t>)</w:t>
            </w:r>
          </w:p>
        </w:tc>
      </w:tr>
      <w:tr w:rsidR="00422A5F" w:rsidRPr="001965B1" w14:paraId="343410A8" w14:textId="77777777" w:rsidTr="00843614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54066E6A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b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b/>
                <w:iCs/>
                <w:color w:val="333333"/>
                <w:sz w:val="20"/>
                <w:shd w:val="clear" w:color="auto" w:fill="FFFFFF"/>
                <w:lang w:val="en-CA"/>
              </w:rPr>
              <w:t>Fish</w:t>
            </w:r>
          </w:p>
        </w:tc>
        <w:tc>
          <w:tcPr>
            <w:tcW w:w="315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15C6CA67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064F887E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</w:p>
        </w:tc>
      </w:tr>
      <w:tr w:rsidR="00422A5F" w:rsidRPr="001965B1" w14:paraId="2664B498" w14:textId="77777777" w:rsidTr="00843614">
        <w:trPr>
          <w:trHeight w:val="109"/>
          <w:jc w:val="center"/>
        </w:trPr>
        <w:tc>
          <w:tcPr>
            <w:tcW w:w="23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C6FD06D" w14:textId="77777777" w:rsidR="00422A5F" w:rsidRPr="00A07EAC" w:rsidRDefault="00422A5F" w:rsidP="001128A1">
            <w:pPr>
              <w:spacing w:after="80"/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A07EAC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Mogurnda mogurnda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9BC5CD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96-h LC05 Mortality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(A)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B00525F" w14:textId="77777777" w:rsidR="00422A5F" w:rsidRPr="001965B1" w:rsidRDefault="00422A5F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   50</w:t>
            </w:r>
          </w:p>
        </w:tc>
      </w:tr>
      <w:tr w:rsidR="00422A5F" w:rsidRPr="001965B1" w14:paraId="18486A2F" w14:textId="77777777" w:rsidTr="00843614">
        <w:trPr>
          <w:trHeight w:val="118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0070F9E6" w14:textId="77777777" w:rsidR="00422A5F" w:rsidRPr="00A07EAC" w:rsidRDefault="00422A5F" w:rsidP="001128A1">
            <w:pPr>
              <w:spacing w:after="80"/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A07EAC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Rhamdia quelen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092F9565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84-h LOEC Mortality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(A)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182F6F3" w14:textId="77777777" w:rsidR="00422A5F" w:rsidRPr="001965B1" w:rsidRDefault="00422A5F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   66</w:t>
            </w:r>
          </w:p>
        </w:tc>
      </w:tr>
      <w:tr w:rsidR="00422A5F" w:rsidRPr="001965B1" w14:paraId="1ACF3475" w14:textId="77777777" w:rsidTr="00843614">
        <w:trPr>
          <w:trHeight w:val="118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2D1E5B1D" w14:textId="77777777" w:rsidR="00422A5F" w:rsidRPr="00A07EAC" w:rsidRDefault="00422A5F" w:rsidP="001128A1">
            <w:pPr>
              <w:spacing w:after="80"/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A07EAC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Pimephales promelas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009A408E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96-h LC50 Mortality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(A)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8AB32F8" w14:textId="77777777" w:rsidR="00422A5F" w:rsidRPr="001965B1" w:rsidRDefault="00422A5F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2263</w:t>
            </w:r>
          </w:p>
        </w:tc>
      </w:tr>
      <w:tr w:rsidR="00422A5F" w:rsidRPr="001965B1" w14:paraId="359917F2" w14:textId="77777777" w:rsidTr="00843614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1A1C1BB6" w14:textId="77777777" w:rsidR="00422A5F" w:rsidRPr="00A07EAC" w:rsidRDefault="00422A5F" w:rsidP="001128A1">
            <w:pPr>
              <w:spacing w:after="80"/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A07EAC">
              <w:rPr>
                <w:rFonts w:ascii="Palatino-Roman" w:hAnsi="Palatino-Roman" w:cs="Arial"/>
                <w:b/>
                <w:iCs/>
                <w:color w:val="333333"/>
                <w:sz w:val="20"/>
                <w:shd w:val="clear" w:color="auto" w:fill="FFFFFF"/>
                <w:lang w:val="en-CA"/>
              </w:rPr>
              <w:t>Invertebrates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435FD93A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F1D642E" w14:textId="77777777" w:rsidR="00422A5F" w:rsidRPr="001965B1" w:rsidRDefault="00422A5F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</w:p>
        </w:tc>
      </w:tr>
      <w:tr w:rsidR="00422A5F" w:rsidRPr="001965B1" w14:paraId="261FC161" w14:textId="77777777" w:rsidTr="00843614">
        <w:trPr>
          <w:trHeight w:val="45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D387395" w14:textId="77777777" w:rsidR="00422A5F" w:rsidRPr="00A07EAC" w:rsidRDefault="00422A5F" w:rsidP="001128A1">
            <w:pPr>
              <w:spacing w:after="80"/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A07EAC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Hydra viridissima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09B6FEB6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96-h IC10 Population growth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(C)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C564EF4" w14:textId="77777777" w:rsidR="00422A5F" w:rsidRPr="001965B1" w:rsidRDefault="00422A5F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    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</w:t>
            </w: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8</w:t>
            </w:r>
          </w:p>
        </w:tc>
      </w:tr>
      <w:tr w:rsidR="00422A5F" w:rsidRPr="001965B1" w14:paraId="2B1C088C" w14:textId="77777777" w:rsidTr="00843614">
        <w:trPr>
          <w:trHeight w:val="82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2B4A7ECE" w14:textId="77777777" w:rsidR="00422A5F" w:rsidRPr="00A07EAC" w:rsidRDefault="00422A5F" w:rsidP="001128A1">
            <w:pPr>
              <w:spacing w:after="80"/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A07EAC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Amerianna cumingi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63EF7322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96-h IC10 Reproduction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(A)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420D86F" w14:textId="77777777" w:rsidR="00422A5F" w:rsidRPr="001965B1" w:rsidRDefault="00422A5F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   22*</w:t>
            </w:r>
          </w:p>
        </w:tc>
      </w:tr>
      <w:tr w:rsidR="00422A5F" w:rsidRPr="001965B1" w14:paraId="29DA6F60" w14:textId="77777777" w:rsidTr="00843614">
        <w:trPr>
          <w:trHeight w:val="91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6D809DD3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C</w:t>
            </w:r>
            <w:r w:rsidRPr="00A07EAC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>eriodaphnia</w:t>
            </w:r>
            <w:r w:rsidRPr="001965B1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dubia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7A33A5FA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48-h LC50 Mortality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(A)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A73719D" w14:textId="77777777" w:rsidR="00422A5F" w:rsidRPr="001965B1" w:rsidRDefault="00422A5F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 105*</w:t>
            </w:r>
          </w:p>
        </w:tc>
      </w:tr>
      <w:tr w:rsidR="00422A5F" w:rsidRPr="001965B1" w14:paraId="5E6DF5F4" w14:textId="77777777" w:rsidTr="00843614">
        <w:trPr>
          <w:trHeight w:val="91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BEF7976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bCs/>
                <w:i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bCs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Moinodaphnia macleayi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6D13778F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3-brood IC10 Reproduction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(C)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EDEA508" w14:textId="77777777" w:rsidR="00422A5F" w:rsidRPr="001965B1" w:rsidRDefault="00422A5F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 149</w:t>
            </w:r>
          </w:p>
        </w:tc>
      </w:tr>
      <w:tr w:rsidR="00422A5F" w:rsidRPr="001965B1" w14:paraId="4740D241" w14:textId="77777777" w:rsidTr="00843614">
        <w:trPr>
          <w:trHeight w:val="45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B816782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Daphnia magna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6E6CC635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3-week IC16 Reproduction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(C)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DFCD33E" w14:textId="77777777" w:rsidR="00422A5F" w:rsidRPr="001965B1" w:rsidRDefault="00422A5F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 337*</w:t>
            </w:r>
          </w:p>
        </w:tc>
      </w:tr>
      <w:tr w:rsidR="00422A5F" w:rsidRPr="001965B1" w14:paraId="11FA2693" w14:textId="77777777" w:rsidTr="00843614">
        <w:trPr>
          <w:trHeight w:val="315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1CCEF490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b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b/>
                <w:iCs/>
                <w:color w:val="333333"/>
                <w:sz w:val="20"/>
                <w:shd w:val="clear" w:color="auto" w:fill="FFFFFF"/>
                <w:lang w:val="en-CA"/>
              </w:rPr>
              <w:t>Plants/Algae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A88EFD6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265AF13" w14:textId="77777777" w:rsidR="00422A5F" w:rsidRPr="001965B1" w:rsidRDefault="00422A5F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</w:p>
        </w:tc>
      </w:tr>
      <w:tr w:rsidR="00422A5F" w:rsidRPr="001965B1" w14:paraId="5F89B3BF" w14:textId="77777777" w:rsidTr="00843614">
        <w:trPr>
          <w:trHeight w:val="45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4A6917F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b/>
                <w:bCs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Lemna aequinoctialis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528998A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96-h IC10 Growth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(C)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1972C42" w14:textId="77777777" w:rsidR="00422A5F" w:rsidRPr="001965B1" w:rsidRDefault="00422A5F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     9</w:t>
            </w:r>
          </w:p>
        </w:tc>
      </w:tr>
      <w:tr w:rsidR="00422A5F" w:rsidRPr="001965B1" w14:paraId="2B43F471" w14:textId="77777777" w:rsidTr="00843614">
        <w:trPr>
          <w:trHeight w:val="45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0C18313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Chlorella </w:t>
            </w:r>
            <w:r w:rsidRPr="001965B1"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  <w:t>sp.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ACE3DD4" w14:textId="77777777" w:rsidR="00422A5F" w:rsidRPr="001965B1" w:rsidRDefault="00422A5F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72-h IC10 Growth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(C)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526C442" w14:textId="77777777" w:rsidR="00422A5F" w:rsidRPr="001965B1" w:rsidRDefault="00422A5F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 178</w:t>
            </w:r>
          </w:p>
        </w:tc>
      </w:tr>
    </w:tbl>
    <w:p w14:paraId="69054C12" w14:textId="77777777" w:rsidR="00422A5F" w:rsidRPr="001965B1" w:rsidRDefault="00422A5F" w:rsidP="00D3075E">
      <w:pPr>
        <w:spacing w:after="80"/>
        <w:ind w:left="1080" w:right="919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>Notes:  *Geometric mean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>,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 xml:space="preserve"> n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 xml:space="preserve"> 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>=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 xml:space="preserve"> 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>2</w:t>
      </w:r>
    </w:p>
    <w:p w14:paraId="0B443126" w14:textId="0356C71D" w:rsidR="00FF31B7" w:rsidRDefault="00FF31B7">
      <w:pP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br w:type="page"/>
      </w:r>
    </w:p>
    <w:p w14:paraId="33216506" w14:textId="77777777" w:rsidR="00422A5F" w:rsidRPr="001965B1" w:rsidRDefault="00422A5F" w:rsidP="007A1441">
      <w:pP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72704F21" w14:textId="717D854E" w:rsidR="00B9672D" w:rsidRPr="001965B1" w:rsidRDefault="00B9672D" w:rsidP="007A1441">
      <w:pPr>
        <w:ind w:right="29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 w:rsidRPr="00B9672D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Table S</w:t>
      </w:r>
      <w:r w:rsidR="009104FC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3</w:t>
      </w:r>
      <w:r w:rsidRPr="00B9672D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.</w:t>
      </w:r>
      <w:r w:rsidRPr="00B9672D">
        <w:rPr>
          <w:rFonts w:ascii="Palatino-Roman" w:hAnsi="Palatino-Roman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B92E9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Endpoints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used 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for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SSD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s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in Fig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ure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4c, d (constrained by BC resident species </w:t>
      </w:r>
      <w:r>
        <w:rPr>
          <w:rFonts w:ascii="Palatino Linotype" w:hAnsi="Palatino Linotype" w:cs="Arial"/>
          <w:color w:val="333333"/>
          <w:sz w:val="20"/>
          <w:shd w:val="clear" w:color="auto" w:fill="FFFFFF"/>
          <w:lang w:val="en-US"/>
        </w:rPr>
        <w:t xml:space="preserve">and/or the effect data points </w:t>
      </w:r>
      <w:r w:rsidR="00B170D2">
        <w:rPr>
          <w:rFonts w:ascii="Palatino Linotype" w:hAnsi="Palatino Linotype" w:cs="Arial"/>
          <w:color w:val="333333"/>
          <w:sz w:val="20"/>
          <w:shd w:val="clear" w:color="auto" w:fill="FFFFFF"/>
          <w:lang w:val="en-US"/>
        </w:rPr>
        <w:t>where</w:t>
      </w:r>
      <w:r>
        <w:rPr>
          <w:rFonts w:ascii="Palatino Linotype" w:hAnsi="Palatino Linotype" w:cs="Arial"/>
          <w:color w:val="333333"/>
          <w:sz w:val="20"/>
          <w:shd w:val="clear" w:color="auto" w:fill="FFFFFF"/>
          <w:lang w:val="en-US"/>
        </w:rPr>
        <w:t xml:space="preserve"> Ca:Mg ratio &gt;1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, respectively)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.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</w:t>
      </w:r>
      <w:r w:rsidR="0007403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Taxon. group (taxonomic group): P – plant/algae, I – invertebrate, F – fish.  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A</w:t>
      </w:r>
      <w:r w:rsidR="0007403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-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acute; C </w:t>
      </w:r>
      <w:r w:rsidR="0007403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- 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chronic.</w:t>
      </w:r>
    </w:p>
    <w:tbl>
      <w:tblPr>
        <w:tblW w:w="7682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838"/>
        <w:gridCol w:w="2970"/>
        <w:gridCol w:w="1874"/>
      </w:tblGrid>
      <w:tr w:rsidR="00B9672D" w:rsidRPr="001965B1" w14:paraId="635CA780" w14:textId="77777777" w:rsidTr="00074036">
        <w:trPr>
          <w:jc w:val="center"/>
        </w:trPr>
        <w:tc>
          <w:tcPr>
            <w:tcW w:w="2838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98A1D1" w14:textId="77777777" w:rsidR="00B9672D" w:rsidRDefault="00B9672D" w:rsidP="001128A1">
            <w:pPr>
              <w:spacing w:after="80"/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</w:pPr>
            <w:r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  <w:t>SSD</w:t>
            </w:r>
          </w:p>
          <w:p w14:paraId="4F84C071" w14:textId="620C0508" w:rsidR="00B9672D" w:rsidRPr="00074036" w:rsidRDefault="00B9672D" w:rsidP="001128A1">
            <w:pPr>
              <w:spacing w:after="80"/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</w:pPr>
            <w:r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  <w:t xml:space="preserve">   </w:t>
            </w:r>
            <w:r w:rsidRPr="00232C38">
              <w:rPr>
                <w:rFonts w:ascii="Palatino-Roman" w:hAnsi="Palatino-Roman" w:cs="Arial"/>
                <w:b/>
                <w:i/>
                <w:color w:val="333333"/>
                <w:sz w:val="20"/>
                <w:shd w:val="clear" w:color="auto" w:fill="FFFFFF"/>
                <w:lang w:val="en-CA"/>
              </w:rPr>
              <w:t>Species</w:t>
            </w:r>
            <w:r w:rsidR="00074036"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  <w:t xml:space="preserve"> (Taxon. group)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79002" w14:textId="77777777" w:rsidR="00B9672D" w:rsidRPr="001965B1" w:rsidRDefault="00B9672D" w:rsidP="001128A1">
            <w:pPr>
              <w:spacing w:after="80"/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  <w:t>Endpoint</w:t>
            </w:r>
          </w:p>
        </w:tc>
        <w:tc>
          <w:tcPr>
            <w:tcW w:w="187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BC7838" w14:textId="77777777" w:rsidR="00B9672D" w:rsidRPr="001965B1" w:rsidRDefault="00B9672D" w:rsidP="001128A1">
            <w:pPr>
              <w:spacing w:after="80"/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  <w:t>Water Hardness (mg/L as CaCO</w:t>
            </w:r>
            <w:r w:rsidRPr="001965B1"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vertAlign w:val="subscript"/>
                <w:lang w:val="en-CA"/>
              </w:rPr>
              <w:t>3</w:t>
            </w:r>
            <w:r w:rsidRPr="001965B1">
              <w:rPr>
                <w:rFonts w:ascii="Palatino-Roman" w:hAnsi="Palatino-Roman" w:cs="Arial"/>
                <w:b/>
                <w:color w:val="333333"/>
                <w:sz w:val="20"/>
                <w:shd w:val="clear" w:color="auto" w:fill="FFFFFF"/>
                <w:lang w:val="en-CA"/>
              </w:rPr>
              <w:t>)</w:t>
            </w:r>
          </w:p>
        </w:tc>
      </w:tr>
      <w:tr w:rsidR="00B9672D" w:rsidRPr="001965B1" w14:paraId="3E8EB8E5" w14:textId="77777777" w:rsidTr="00074036">
        <w:trPr>
          <w:trHeight w:val="300"/>
          <w:jc w:val="center"/>
        </w:trPr>
        <w:tc>
          <w:tcPr>
            <w:tcW w:w="768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7492CB50" w14:textId="77777777" w:rsidR="00B9672D" w:rsidRPr="001965B1" w:rsidRDefault="00B9672D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>
              <w:rPr>
                <w:rFonts w:ascii="Palatino-Roman" w:hAnsi="Palatino-Roman" w:cs="Arial"/>
                <w:b/>
                <w:iCs/>
                <w:color w:val="333333"/>
                <w:sz w:val="20"/>
                <w:shd w:val="clear" w:color="auto" w:fill="FFFFFF"/>
                <w:lang w:val="en-CA"/>
              </w:rPr>
              <w:t>SSD constrained by BC resident species</w:t>
            </w:r>
          </w:p>
        </w:tc>
      </w:tr>
      <w:tr w:rsidR="00B9672D" w:rsidRPr="001965B1" w14:paraId="076E2305" w14:textId="77777777" w:rsidTr="00074036">
        <w:trPr>
          <w:trHeight w:val="109"/>
          <w:jc w:val="center"/>
        </w:trPr>
        <w:tc>
          <w:tcPr>
            <w:tcW w:w="283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57F459" w14:textId="22EEE1DC" w:rsidR="00B9672D" w:rsidRPr="00074036" w:rsidRDefault="00B9672D" w:rsidP="001128A1">
            <w:pPr>
              <w:spacing w:after="80"/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A07EAC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</w:t>
            </w:r>
            <w:r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>Ceriodaphnia dubia</w:t>
            </w:r>
            <w:r w:rsidR="00074036"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  <w:t xml:space="preserve"> (I)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D45B4ED" w14:textId="77777777" w:rsidR="00B9672D" w:rsidRPr="001965B1" w:rsidRDefault="00B9672D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48</w:t>
            </w: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-h LC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50</w:t>
            </w: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Mortality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(A)</w:t>
            </w:r>
          </w:p>
        </w:tc>
        <w:tc>
          <w:tcPr>
            <w:tcW w:w="187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63AC396" w14:textId="77777777" w:rsidR="00B9672D" w:rsidRPr="001965B1" w:rsidRDefault="00B9672D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 105*</w:t>
            </w:r>
          </w:p>
        </w:tc>
      </w:tr>
      <w:tr w:rsidR="00B9672D" w:rsidRPr="001965B1" w14:paraId="32178023" w14:textId="77777777" w:rsidTr="00074036">
        <w:trPr>
          <w:trHeight w:val="118"/>
          <w:jc w:val="center"/>
        </w:trPr>
        <w:tc>
          <w:tcPr>
            <w:tcW w:w="2838" w:type="dxa"/>
            <w:shd w:val="clear" w:color="auto" w:fill="auto"/>
            <w:noWrap/>
            <w:vAlign w:val="center"/>
          </w:tcPr>
          <w:p w14:paraId="27421BE8" w14:textId="473BFCA4" w:rsidR="00B9672D" w:rsidRPr="00A07EAC" w:rsidRDefault="00B9672D" w:rsidP="001128A1">
            <w:pPr>
              <w:spacing w:after="80"/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A07EAC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</w:t>
            </w:r>
            <w:r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Chlorella </w:t>
            </w:r>
            <w:r w:rsidRPr="00074036"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  <w:t>sp.</w:t>
            </w:r>
            <w:r w:rsidR="00074036"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  <w:t xml:space="preserve"> (P)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2E3569C0" w14:textId="77777777" w:rsidR="00B9672D" w:rsidRPr="001965B1" w:rsidRDefault="00B9672D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72</w:t>
            </w: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-h 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IC10 Growth (C)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14:paraId="5226B5C1" w14:textId="77777777" w:rsidR="00B9672D" w:rsidRPr="001965B1" w:rsidRDefault="00B9672D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 178</w:t>
            </w:r>
          </w:p>
        </w:tc>
      </w:tr>
      <w:tr w:rsidR="00B9672D" w:rsidRPr="001965B1" w14:paraId="5A291952" w14:textId="77777777" w:rsidTr="00074036">
        <w:trPr>
          <w:trHeight w:val="118"/>
          <w:jc w:val="center"/>
        </w:trPr>
        <w:tc>
          <w:tcPr>
            <w:tcW w:w="2838" w:type="dxa"/>
            <w:shd w:val="clear" w:color="auto" w:fill="auto"/>
            <w:noWrap/>
            <w:vAlign w:val="center"/>
          </w:tcPr>
          <w:p w14:paraId="4A9B7C15" w14:textId="5F74B6C3" w:rsidR="00B9672D" w:rsidRPr="00074036" w:rsidRDefault="00B9672D" w:rsidP="001128A1">
            <w:pPr>
              <w:spacing w:after="80"/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A07EAC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</w:t>
            </w:r>
            <w:r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>Daphnia magna</w:t>
            </w:r>
            <w:r w:rsidR="00074036"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  <w:t xml:space="preserve"> (I)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49F40267" w14:textId="77777777" w:rsidR="00B9672D" w:rsidRPr="001965B1" w:rsidRDefault="00B9672D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3-week IC16 Reproduction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(C)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14:paraId="310CFBEA" w14:textId="77777777" w:rsidR="00B9672D" w:rsidRPr="001965B1" w:rsidRDefault="00B9672D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 337*</w:t>
            </w:r>
          </w:p>
        </w:tc>
      </w:tr>
      <w:tr w:rsidR="00B9672D" w:rsidRPr="001965B1" w14:paraId="16889418" w14:textId="77777777" w:rsidTr="00074036">
        <w:trPr>
          <w:trHeight w:val="118"/>
          <w:jc w:val="center"/>
        </w:trPr>
        <w:tc>
          <w:tcPr>
            <w:tcW w:w="2838" w:type="dxa"/>
            <w:shd w:val="clear" w:color="auto" w:fill="auto"/>
            <w:noWrap/>
            <w:vAlign w:val="center"/>
          </w:tcPr>
          <w:p w14:paraId="75BD4C68" w14:textId="05AF8793" w:rsidR="00B9672D" w:rsidRPr="00074036" w:rsidRDefault="00B9672D" w:rsidP="001128A1">
            <w:pPr>
              <w:spacing w:after="80"/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A07EAC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Pimephales promelas</w:t>
            </w:r>
            <w:r w:rsidR="00074036"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  <w:t xml:space="preserve"> (F)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7A292804" w14:textId="77777777" w:rsidR="00B9672D" w:rsidRPr="001965B1" w:rsidRDefault="00B9672D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96-h LC50 Mortality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(A)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14:paraId="17F11392" w14:textId="77777777" w:rsidR="00B9672D" w:rsidRPr="001965B1" w:rsidRDefault="00B9672D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2263</w:t>
            </w:r>
          </w:p>
        </w:tc>
      </w:tr>
      <w:tr w:rsidR="00B9672D" w:rsidRPr="001965B1" w14:paraId="4FE1A7A7" w14:textId="77777777" w:rsidTr="00074036">
        <w:trPr>
          <w:trHeight w:val="300"/>
          <w:jc w:val="center"/>
        </w:trPr>
        <w:tc>
          <w:tcPr>
            <w:tcW w:w="7682" w:type="dxa"/>
            <w:gridSpan w:val="3"/>
            <w:shd w:val="clear" w:color="auto" w:fill="auto"/>
            <w:noWrap/>
            <w:vAlign w:val="center"/>
          </w:tcPr>
          <w:p w14:paraId="10A61E36" w14:textId="3A3CE414" w:rsidR="00B9672D" w:rsidRPr="001965B1" w:rsidRDefault="00B9672D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>
              <w:rPr>
                <w:rFonts w:ascii="Palatino-Roman" w:hAnsi="Palatino-Roman" w:cs="Arial"/>
                <w:b/>
                <w:iCs/>
                <w:color w:val="333333"/>
                <w:sz w:val="20"/>
                <w:shd w:val="clear" w:color="auto" w:fill="FFFFFF"/>
                <w:lang w:val="en-CA"/>
              </w:rPr>
              <w:t xml:space="preserve">SSD constrained by BC resident species </w:t>
            </w:r>
            <w:r w:rsidR="00B170D2">
              <w:rPr>
                <w:rFonts w:ascii="Palatino-Roman" w:hAnsi="Palatino-Roman" w:cs="Arial"/>
                <w:b/>
                <w:iCs/>
                <w:color w:val="333333"/>
                <w:sz w:val="20"/>
                <w:shd w:val="clear" w:color="auto" w:fill="FFFFFF"/>
                <w:lang w:val="en-CA"/>
              </w:rPr>
              <w:t>effects</w:t>
            </w:r>
            <w:r>
              <w:rPr>
                <w:rFonts w:ascii="Palatino-Roman" w:hAnsi="Palatino-Roman" w:cs="Arial"/>
                <w:b/>
                <w:iCs/>
                <w:color w:val="333333"/>
                <w:sz w:val="20"/>
                <w:shd w:val="clear" w:color="auto" w:fill="FFFFFF"/>
                <w:lang w:val="en-CA"/>
              </w:rPr>
              <w:t xml:space="preserve"> having Ca:Mg ratio &gt;1</w:t>
            </w:r>
          </w:p>
        </w:tc>
      </w:tr>
      <w:tr w:rsidR="00B9672D" w:rsidRPr="001965B1" w14:paraId="51AC8ACC" w14:textId="77777777" w:rsidTr="00074036">
        <w:trPr>
          <w:trHeight w:val="45"/>
          <w:jc w:val="center"/>
        </w:trPr>
        <w:tc>
          <w:tcPr>
            <w:tcW w:w="2838" w:type="dxa"/>
            <w:shd w:val="clear" w:color="auto" w:fill="auto"/>
            <w:noWrap/>
            <w:vAlign w:val="center"/>
          </w:tcPr>
          <w:p w14:paraId="1EE987B0" w14:textId="6B904E5C" w:rsidR="00B9672D" w:rsidRPr="00074036" w:rsidRDefault="00B9672D" w:rsidP="001128A1">
            <w:pPr>
              <w:spacing w:after="80"/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Daphnia magna</w:t>
            </w:r>
            <w:r w:rsidR="00074036"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  <w:t xml:space="preserve"> (I)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00073280" w14:textId="77777777" w:rsidR="00B9672D" w:rsidRPr="001965B1" w:rsidRDefault="00B9672D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3-week IC16 Reproduction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(C)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14:paraId="2F28F786" w14:textId="77777777" w:rsidR="00B9672D" w:rsidRPr="001965B1" w:rsidRDefault="00B9672D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 337*</w:t>
            </w:r>
          </w:p>
        </w:tc>
      </w:tr>
      <w:tr w:rsidR="00B9672D" w:rsidRPr="001965B1" w14:paraId="6C474EE5" w14:textId="77777777" w:rsidTr="00074036">
        <w:trPr>
          <w:trHeight w:val="91"/>
          <w:jc w:val="center"/>
        </w:trPr>
        <w:tc>
          <w:tcPr>
            <w:tcW w:w="2838" w:type="dxa"/>
            <w:shd w:val="clear" w:color="auto" w:fill="auto"/>
            <w:noWrap/>
            <w:vAlign w:val="center"/>
          </w:tcPr>
          <w:p w14:paraId="6355A7A6" w14:textId="1AED4605" w:rsidR="00B9672D" w:rsidRPr="00074036" w:rsidRDefault="00B9672D" w:rsidP="001128A1">
            <w:pPr>
              <w:spacing w:after="80"/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C</w:t>
            </w:r>
            <w:r w:rsidRPr="00A07EAC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>eriodaphnia</w:t>
            </w:r>
            <w:r w:rsidRPr="001965B1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dubia</w:t>
            </w:r>
            <w:r w:rsidR="00074036"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  <w:t xml:space="preserve"> (I)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680D6897" w14:textId="77777777" w:rsidR="00B9672D" w:rsidRPr="001965B1" w:rsidRDefault="00B9672D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48-h LC50 Mortality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(A)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14:paraId="6572482A" w14:textId="77777777" w:rsidR="00B9672D" w:rsidRPr="001965B1" w:rsidRDefault="00B9672D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1457</w:t>
            </w:r>
          </w:p>
        </w:tc>
      </w:tr>
      <w:tr w:rsidR="00B9672D" w:rsidRPr="001965B1" w14:paraId="39D053BF" w14:textId="77777777" w:rsidTr="00074036">
        <w:trPr>
          <w:trHeight w:val="45"/>
          <w:jc w:val="center"/>
        </w:trPr>
        <w:tc>
          <w:tcPr>
            <w:tcW w:w="2838" w:type="dxa"/>
            <w:shd w:val="clear" w:color="auto" w:fill="auto"/>
            <w:noWrap/>
            <w:vAlign w:val="center"/>
          </w:tcPr>
          <w:p w14:paraId="06AA86A7" w14:textId="5B335339" w:rsidR="00B9672D" w:rsidRPr="00074036" w:rsidRDefault="00B9672D" w:rsidP="001128A1">
            <w:pPr>
              <w:spacing w:after="80"/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</w:pPr>
            <w:r w:rsidRPr="001965B1"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 xml:space="preserve">   </w:t>
            </w:r>
            <w:r>
              <w:rPr>
                <w:rFonts w:ascii="Palatino-Roman" w:hAnsi="Palatino-Roman" w:cs="Arial"/>
                <w:i/>
                <w:iCs/>
                <w:color w:val="333333"/>
                <w:sz w:val="20"/>
                <w:shd w:val="clear" w:color="auto" w:fill="FFFFFF"/>
                <w:lang w:val="en-CA"/>
              </w:rPr>
              <w:t>Pimephales promelas</w:t>
            </w:r>
            <w:r w:rsidR="00074036">
              <w:rPr>
                <w:rFonts w:ascii="Palatino-Roman" w:hAnsi="Palatino-Roman" w:cs="Arial"/>
                <w:iCs/>
                <w:color w:val="333333"/>
                <w:sz w:val="20"/>
                <w:shd w:val="clear" w:color="auto" w:fill="FFFFFF"/>
                <w:lang w:val="en-CA"/>
              </w:rPr>
              <w:t xml:space="preserve"> (F)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56FC7807" w14:textId="77777777" w:rsidR="00B9672D" w:rsidRPr="001965B1" w:rsidRDefault="00B9672D" w:rsidP="001128A1">
            <w:pPr>
              <w:spacing w:after="80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96-h</w:t>
            </w:r>
            <w:r w:rsidRPr="001965B1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 xml:space="preserve"> 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LC50 Mortality (A)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14:paraId="2E9589B3" w14:textId="77777777" w:rsidR="00B9672D" w:rsidRPr="001965B1" w:rsidRDefault="00B9672D" w:rsidP="001128A1">
            <w:pPr>
              <w:spacing w:after="80"/>
              <w:ind w:left="435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CA"/>
              </w:rPr>
              <w:t>4283</w:t>
            </w:r>
          </w:p>
        </w:tc>
      </w:tr>
    </w:tbl>
    <w:p w14:paraId="08299750" w14:textId="77777777" w:rsidR="00B9672D" w:rsidRPr="001965B1" w:rsidRDefault="00B9672D" w:rsidP="00D3075E">
      <w:pPr>
        <w:ind w:left="900" w:right="919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>Notes:  *Geometric mean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>,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 xml:space="preserve"> n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 xml:space="preserve"> 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>=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 xml:space="preserve"> </w:t>
      </w:r>
      <w:r w:rsidRPr="001965B1">
        <w:rPr>
          <w:rFonts w:ascii="Palatino-Roman" w:hAnsi="Palatino-Roman" w:cs="Arial"/>
          <w:color w:val="333333"/>
          <w:sz w:val="20"/>
          <w:shd w:val="clear" w:color="auto" w:fill="FFFFFF"/>
          <w:lang w:val="en-CA"/>
        </w:rPr>
        <w:t>2</w:t>
      </w:r>
    </w:p>
    <w:p w14:paraId="399462E1" w14:textId="77777777" w:rsidR="000549EB" w:rsidRDefault="000549EB" w:rsidP="007A1441">
      <w:pPr>
        <w:rPr>
          <w:rFonts w:ascii="Times New Roman" w:hAnsi="Times New Roman" w:cs="Times New Roman"/>
          <w:lang w:val="en-US"/>
        </w:rPr>
      </w:pPr>
    </w:p>
    <w:p w14:paraId="40A5EA05" w14:textId="77777777" w:rsidR="00242ECF" w:rsidRDefault="00242ECF" w:rsidP="007A1441">
      <w:pPr>
        <w:rPr>
          <w:rFonts w:ascii="Times New Roman" w:hAnsi="Times New Roman" w:cs="Times New Roman"/>
          <w:lang w:val="en-US"/>
        </w:rPr>
      </w:pPr>
    </w:p>
    <w:p w14:paraId="1306EB2D" w14:textId="77777777" w:rsidR="00242ECF" w:rsidRDefault="00242ECF" w:rsidP="005E4248">
      <w:pPr>
        <w:rPr>
          <w:b/>
          <w:color w:val="333333"/>
          <w:sz w:val="24"/>
          <w:szCs w:val="24"/>
          <w:lang w:val="en-CA" w:eastAsia="en-CA"/>
        </w:rPr>
      </w:pPr>
      <w:r>
        <w:rPr>
          <w:b/>
          <w:color w:val="333333"/>
          <w:sz w:val="24"/>
          <w:szCs w:val="24"/>
          <w:lang w:val="en-CA" w:eastAsia="en-CA"/>
        </w:rPr>
        <w:br w:type="page"/>
      </w:r>
    </w:p>
    <w:p w14:paraId="4BC5B4B5" w14:textId="41B8938C" w:rsidR="00494C38" w:rsidRPr="00105E2A" w:rsidRDefault="00974AA4" w:rsidP="005E4248">
      <w:pPr>
        <w:rPr>
          <w:rFonts w:ascii="Palatino-Roman" w:hAnsi="Palatino-Roman" w:cs="Arial"/>
          <w:color w:val="333333"/>
          <w:sz w:val="20"/>
          <w:shd w:val="clear" w:color="auto" w:fill="FFFFFF"/>
        </w:rPr>
      </w:pPr>
      <w:r w:rsidRPr="00702F60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lastRenderedPageBreak/>
        <w:t>Table S4.</w:t>
      </w:r>
      <w:r w:rsidR="005E4248" w:rsidRPr="00702F60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</w:t>
      </w:r>
      <w:r w:rsidR="00FB00B6" w:rsidRPr="00702F60">
        <w:rPr>
          <w:rFonts w:ascii="Palatino-Roman" w:hAnsi="Palatino-Roman" w:cs="Arial"/>
          <w:color w:val="333333"/>
          <w:sz w:val="20"/>
          <w:shd w:val="clear" w:color="auto" w:fill="FFFFFF"/>
        </w:rPr>
        <w:t>All</w:t>
      </w:r>
      <w:r w:rsidR="00FB00B6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</w:t>
      </w:r>
      <w:r w:rsidR="00105E2A">
        <w:rPr>
          <w:rFonts w:ascii="Palatino-Roman" w:hAnsi="Palatino-Roman" w:cs="Arial"/>
          <w:color w:val="333333"/>
          <w:sz w:val="20"/>
          <w:shd w:val="clear" w:color="auto" w:fill="FFFFFF"/>
        </w:rPr>
        <w:t>r</w:t>
      </w:r>
      <w:r w:rsidR="003E1134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esultant </w:t>
      </w:r>
      <w:r w:rsidR="003E1134" w:rsidRPr="008A136C">
        <w:rPr>
          <w:rFonts w:ascii="Palatino-Roman" w:hAnsi="Palatino-Roman" w:cs="Arial"/>
          <w:color w:val="333333"/>
          <w:sz w:val="20"/>
          <w:shd w:val="clear" w:color="auto" w:fill="FFFFFF"/>
        </w:rPr>
        <w:t>WQG</w:t>
      </w:r>
      <w:r w:rsidR="003E1134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for water hardness and Ca:Mg ratio, relative to background condition at provincial and regional scales (see </w:t>
      </w:r>
      <w:r w:rsidR="00105E2A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main </w:t>
      </w:r>
      <w:r w:rsidR="003E1134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text for details). WQG were inside (I), outside (O), </w:t>
      </w:r>
      <w:r w:rsidR="00954F58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or </w:t>
      </w:r>
      <w:r w:rsidR="009104FC">
        <w:rPr>
          <w:rFonts w:ascii="Palatino-Roman" w:hAnsi="Palatino-Roman" w:cs="Arial"/>
          <w:color w:val="333333"/>
          <w:sz w:val="20"/>
          <w:shd w:val="clear" w:color="auto" w:fill="FFFFFF"/>
        </w:rPr>
        <w:t>partially overlapped (O-I</w:t>
      </w:r>
      <w:r w:rsidR="003E1134">
        <w:rPr>
          <w:rFonts w:ascii="Palatino-Roman" w:hAnsi="Palatino-Roman" w:cs="Arial"/>
          <w:color w:val="333333"/>
          <w:sz w:val="20"/>
          <w:shd w:val="clear" w:color="auto" w:fill="FFFFFF"/>
        </w:rPr>
        <w:t>) the background condition range.</w:t>
      </w:r>
    </w:p>
    <w:tbl>
      <w:tblPr>
        <w:tblW w:w="7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521"/>
        <w:gridCol w:w="729"/>
        <w:gridCol w:w="1004"/>
        <w:gridCol w:w="990"/>
        <w:gridCol w:w="630"/>
        <w:gridCol w:w="990"/>
        <w:gridCol w:w="630"/>
      </w:tblGrid>
      <w:tr w:rsidR="00494C38" w:rsidRPr="00494C38" w14:paraId="45BDCD78" w14:textId="77777777" w:rsidTr="00102EA4">
        <w:trPr>
          <w:trHeight w:val="288"/>
        </w:trPr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B26E99" w14:textId="77777777" w:rsidR="00494C38" w:rsidRPr="00494C38" w:rsidRDefault="00494C38" w:rsidP="00494C38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494C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Site</w:t>
            </w:r>
          </w:p>
        </w:tc>
        <w:tc>
          <w:tcPr>
            <w:tcW w:w="2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9E489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494C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Background Condition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12678" w14:textId="7467521C" w:rsidR="00494C38" w:rsidRPr="00494C38" w:rsidRDefault="00494C38" w:rsidP="00494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494C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Site </w:t>
            </w:r>
            <w:r w:rsidRPr="00494C3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CA" w:eastAsia="en-CA"/>
              </w:rPr>
              <w:t>WQG</w:t>
            </w:r>
            <w:r w:rsidRPr="00494C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and Evaluation Results</w:t>
            </w:r>
          </w:p>
        </w:tc>
      </w:tr>
      <w:tr w:rsidR="00494C38" w:rsidRPr="00494C38" w14:paraId="13CAA83F" w14:textId="77777777" w:rsidTr="00102EA4">
        <w:trPr>
          <w:trHeight w:val="288"/>
        </w:trPr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804272" w14:textId="77777777" w:rsidR="00494C38" w:rsidRPr="00494C38" w:rsidRDefault="00494C38" w:rsidP="00494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81DEB0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494C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n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48E684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494C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Mean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C05B53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494C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Range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C6548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494C3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val="en-CA" w:eastAsia="en-CA"/>
              </w:rPr>
              <w:t>All Data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644D0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494C3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val="en-CA" w:eastAsia="en-CA"/>
              </w:rPr>
              <w:t>BC Resident spp.</w:t>
            </w:r>
          </w:p>
        </w:tc>
      </w:tr>
      <w:tr w:rsidR="00494C38" w:rsidRPr="00494C38" w14:paraId="07D1D532" w14:textId="77777777" w:rsidTr="00102EA4">
        <w:trPr>
          <w:trHeight w:val="300"/>
        </w:trPr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A533B4" w14:textId="77777777" w:rsidR="00494C38" w:rsidRPr="00494C38" w:rsidRDefault="00494C38" w:rsidP="00494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BD70C9" w14:textId="77777777" w:rsidR="00494C38" w:rsidRPr="00494C38" w:rsidRDefault="00494C38" w:rsidP="00494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9C942E" w14:textId="77777777" w:rsidR="00494C38" w:rsidRPr="00494C38" w:rsidRDefault="00494C38" w:rsidP="00494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ED7549" w14:textId="77777777" w:rsidR="00494C38" w:rsidRPr="00494C38" w:rsidRDefault="00494C38" w:rsidP="00494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963C8" w14:textId="584D422C" w:rsidR="00494C38" w:rsidRPr="00494C38" w:rsidRDefault="00494C38" w:rsidP="0049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494C3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CA"/>
              </w:rPr>
              <w:t>WQG</w:t>
            </w:r>
            <w:r w:rsidR="00C503A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5F003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494C3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val="en-CA" w:eastAsia="en-CA"/>
              </w:rPr>
              <w:t>I/O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55C6A" w14:textId="7308D0EE" w:rsidR="00494C38" w:rsidRPr="00494C38" w:rsidRDefault="00494C38" w:rsidP="0049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494C3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CA"/>
              </w:rPr>
              <w:t>WQG</w:t>
            </w:r>
            <w:r w:rsidR="00C503A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vertAlign w:val="superscript"/>
                <w:lang w:eastAsia="en-CA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70042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val="en-CA" w:eastAsia="en-CA"/>
              </w:rPr>
            </w:pPr>
            <w:r w:rsidRPr="00494C3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val="en-CA" w:eastAsia="en-CA"/>
              </w:rPr>
              <w:t>I/O</w:t>
            </w:r>
          </w:p>
        </w:tc>
      </w:tr>
      <w:tr w:rsidR="00494C38" w:rsidRPr="00494C38" w14:paraId="3B143EA5" w14:textId="77777777" w:rsidTr="00105E2A">
        <w:trPr>
          <w:trHeight w:val="294"/>
        </w:trPr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A453" w14:textId="77777777" w:rsidR="00494C38" w:rsidRPr="00494C38" w:rsidRDefault="00494C38" w:rsidP="00494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494C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WATER HARDNESS (mg/L as CaCO</w:t>
            </w:r>
            <w:r w:rsidRPr="00494C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n-CA" w:eastAsia="en-CA"/>
              </w:rPr>
              <w:t>3</w:t>
            </w:r>
            <w:r w:rsidRPr="00494C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D0BA" w14:textId="77777777" w:rsidR="00494C38" w:rsidRPr="00494C38" w:rsidRDefault="00494C38" w:rsidP="00494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61D7" w14:textId="77777777" w:rsidR="00494C38" w:rsidRPr="00494C3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28BB" w14:textId="77777777" w:rsidR="00494C38" w:rsidRPr="00494C3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6D8A" w14:textId="77777777" w:rsidR="00494C38" w:rsidRPr="00494C3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494C38" w:rsidRPr="00494C38" w14:paraId="7DE34C19" w14:textId="77777777" w:rsidTr="00102EA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0EFE" w14:textId="77777777" w:rsidR="00494C38" w:rsidRPr="00954F58" w:rsidRDefault="00494C38" w:rsidP="00494C3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REGIONAL</w:t>
            </w:r>
            <w:r w:rsidRPr="00954F58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F1F4" w14:textId="77777777" w:rsidR="00494C38" w:rsidRPr="00954F58" w:rsidRDefault="00494C38" w:rsidP="00494C3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E2A7" w14:textId="77777777" w:rsidR="00494C38" w:rsidRPr="00954F5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DF4F" w14:textId="77777777" w:rsidR="00494C38" w:rsidRPr="00954F5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ADD7" w14:textId="77777777" w:rsidR="00494C38" w:rsidRPr="00954F5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10A3" w14:textId="77777777" w:rsidR="00494C38" w:rsidRPr="00494C3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F6AF" w14:textId="77777777" w:rsidR="00494C38" w:rsidRPr="00494C3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7DA1" w14:textId="77777777" w:rsidR="00494C38" w:rsidRPr="00494C3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281F5B" w:rsidRPr="00494C38" w14:paraId="34921951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4748" w14:textId="77777777" w:rsidR="00281F5B" w:rsidRPr="00954F58" w:rsidRDefault="00281F5B" w:rsidP="00281F5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Cariboo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53B9" w14:textId="5BA06156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AD62" w14:textId="5C7BCB68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97.6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65E3" w14:textId="13FF6805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5.2-569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94C7" w14:textId="1CE12372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4B91" w14:textId="77777777" w:rsidR="00281F5B" w:rsidRPr="0065411E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65411E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D923" w14:textId="23784C93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281F5B"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D6ED" w14:textId="6B90A052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81F5B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</w:tr>
      <w:tr w:rsidR="00281F5B" w:rsidRPr="00494C38" w14:paraId="12B5C722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FC62" w14:textId="77777777" w:rsidR="00281F5B" w:rsidRPr="00954F58" w:rsidRDefault="00281F5B" w:rsidP="00281F5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Kootenay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3223" w14:textId="7E7F1819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5031" w14:textId="285429C6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85.7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3BCB" w14:textId="4C03DF66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7.3-305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CC56" w14:textId="60C7E573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E72A" w14:textId="7720C511" w:rsidR="00281F5B" w:rsidRPr="0065411E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65411E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33FC" w14:textId="0041D603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281F5B">
              <w:rPr>
                <w:rFonts w:ascii="Calibri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42CF" w14:textId="76AD992F" w:rsidR="00281F5B" w:rsidRPr="00281F5B" w:rsidRDefault="00D258B9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O</w:t>
            </w:r>
          </w:p>
        </w:tc>
      </w:tr>
      <w:tr w:rsidR="00281F5B" w:rsidRPr="00494C38" w14:paraId="6CE7A97F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2536" w14:textId="77777777" w:rsidR="00281F5B" w:rsidRPr="00954F58" w:rsidRDefault="00281F5B" w:rsidP="00281F5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Lower Mainland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7BDB" w14:textId="79513120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6856" w14:textId="2B32AA92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66.1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74BE" w14:textId="0B09EBEC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5.2-264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A47F" w14:textId="57CC71BA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5F34" w14:textId="72B22F9F" w:rsidR="00281F5B" w:rsidRPr="0065411E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65411E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F0CF" w14:textId="5AF76374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281F5B"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0168" w14:textId="77777777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81F5B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O</w:t>
            </w:r>
          </w:p>
        </w:tc>
      </w:tr>
      <w:tr w:rsidR="00281F5B" w:rsidRPr="00494C38" w14:paraId="23BC2A33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560F" w14:textId="77777777" w:rsidR="00281F5B" w:rsidRPr="00954F58" w:rsidRDefault="00281F5B" w:rsidP="00281F5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Okanagan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3485" w14:textId="547B5CBB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3BF90" w14:textId="43253E47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CAB6" w14:textId="702B9B5B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17.1-636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61F6" w14:textId="31808521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FCE7" w14:textId="198FCE24" w:rsidR="00281F5B" w:rsidRPr="0065411E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65411E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D7FF" w14:textId="5EED5CBC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281F5B">
              <w:rPr>
                <w:rFonts w:ascii="Calibri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46AC" w14:textId="63DB0702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81F5B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</w:tr>
      <w:tr w:rsidR="00281F5B" w:rsidRPr="00494C38" w14:paraId="4249936D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A7B8" w14:textId="77777777" w:rsidR="00281F5B" w:rsidRPr="00954F58" w:rsidRDefault="00281F5B" w:rsidP="00281F5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Omineca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F25E" w14:textId="14946BBC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E6A6" w14:textId="67DD73EB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5ABA" w14:textId="4EF2997C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20.8-343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651E" w14:textId="0E46950E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F7AE" w14:textId="0EB6B599" w:rsidR="00281F5B" w:rsidRPr="0065411E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65411E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A880" w14:textId="7A5CEC6B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281F5B">
              <w:rPr>
                <w:rFonts w:ascii="Calibri" w:hAnsi="Calibr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0B9F" w14:textId="77777777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81F5B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O</w:t>
            </w:r>
          </w:p>
        </w:tc>
      </w:tr>
      <w:tr w:rsidR="00281F5B" w:rsidRPr="00494C38" w14:paraId="4843F44F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8D13" w14:textId="77777777" w:rsidR="00281F5B" w:rsidRPr="00954F58" w:rsidRDefault="00281F5B" w:rsidP="00281F5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Peace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C886" w14:textId="1DD7BEBF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AA67A" w14:textId="798636DE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65.9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8272" w14:textId="5FFDBA62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34.8-95.3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0703" w14:textId="1F9AEEF3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CF63" w14:textId="77777777" w:rsidR="00281F5B" w:rsidRPr="0065411E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65411E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F382" w14:textId="019CA443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281F5B"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CDAA" w14:textId="77777777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81F5B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O</w:t>
            </w:r>
          </w:p>
        </w:tc>
      </w:tr>
      <w:tr w:rsidR="00281F5B" w:rsidRPr="00494C38" w14:paraId="5C714D26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56C9" w14:textId="77777777" w:rsidR="00281F5B" w:rsidRPr="00954F58" w:rsidRDefault="00281F5B" w:rsidP="00281F5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Skeena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3FEE" w14:textId="152BEF42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737F2" w14:textId="21E8673D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42.4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1861" w14:textId="1D55B81E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2</w:t>
            </w:r>
            <w:r w:rsidR="006275AE" w:rsidRPr="00954F58">
              <w:rPr>
                <w:sz w:val="20"/>
                <w:szCs w:val="20"/>
              </w:rPr>
              <w:t>.0</w:t>
            </w:r>
            <w:r w:rsidRPr="00954F58">
              <w:rPr>
                <w:sz w:val="20"/>
                <w:szCs w:val="20"/>
              </w:rPr>
              <w:t>-217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166E" w14:textId="0E81388F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67F5" w14:textId="77777777" w:rsidR="00281F5B" w:rsidRPr="0065411E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65411E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EE5B" w14:textId="16FAF732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281F5B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F66B" w14:textId="3899835D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81F5B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</w:tr>
      <w:tr w:rsidR="00281F5B" w:rsidRPr="00494C38" w14:paraId="0AC3175B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8266" w14:textId="7F628A78" w:rsidR="00281F5B" w:rsidRPr="00954F58" w:rsidRDefault="00281F5B" w:rsidP="00281F5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Central Interior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437E" w14:textId="2F665684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1AB6" w14:textId="408FEA33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6033" w14:textId="611B2797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15.2-781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8B8C" w14:textId="1AA60BB8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5FFC" w14:textId="77777777" w:rsidR="00281F5B" w:rsidRPr="0065411E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65411E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367E" w14:textId="1194AE4C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281F5B"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417D" w14:textId="6F623DE6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81F5B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</w:tr>
      <w:tr w:rsidR="00281F5B" w:rsidRPr="00494C38" w14:paraId="07D8CB6E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B85A" w14:textId="77777777" w:rsidR="00281F5B" w:rsidRPr="00954F58" w:rsidRDefault="00281F5B" w:rsidP="00281F5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Vancouver Island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3AAD" w14:textId="3CB7C0F0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BA92" w14:textId="0437D9DB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27.4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1D9A" w14:textId="1FCA5DC0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4.4-162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6284" w14:textId="2BFADCAF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41AD" w14:textId="77777777" w:rsidR="00281F5B" w:rsidRPr="0065411E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65411E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524D" w14:textId="6E3E6AB1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281F5B"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469C" w14:textId="056B0228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81F5B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</w:tr>
      <w:tr w:rsidR="00281F5B" w:rsidRPr="00494C38" w14:paraId="18B4C2E4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0FF13" w14:textId="77777777" w:rsidR="00281F5B" w:rsidRPr="00954F58" w:rsidRDefault="00281F5B" w:rsidP="00281F5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PROVINCIAL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33A5" w14:textId="4C7CF1C1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546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8468A" w14:textId="30A2C314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70.1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F0E0" w14:textId="1BE81D21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2</w:t>
            </w:r>
            <w:r w:rsidR="006275AE" w:rsidRPr="00954F58">
              <w:rPr>
                <w:sz w:val="20"/>
                <w:szCs w:val="20"/>
              </w:rPr>
              <w:t>.0</w:t>
            </w:r>
            <w:r w:rsidRPr="00954F58">
              <w:rPr>
                <w:sz w:val="20"/>
                <w:szCs w:val="20"/>
              </w:rPr>
              <w:t>-781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3ABEC" w14:textId="24D6DEF1" w:rsidR="00281F5B" w:rsidRPr="00954F58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761D0" w14:textId="77777777" w:rsidR="00281F5B" w:rsidRPr="0065411E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65411E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043AD" w14:textId="0C8F720C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281F5B">
              <w:rPr>
                <w:rFonts w:ascii="Calibri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18E4" w14:textId="795A5C85" w:rsidR="00281F5B" w:rsidRPr="00281F5B" w:rsidRDefault="00281F5B" w:rsidP="002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81F5B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</w:tr>
      <w:tr w:rsidR="00494C38" w:rsidRPr="00494C38" w14:paraId="5D4047A1" w14:textId="77777777" w:rsidTr="00102EA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530F" w14:textId="77777777" w:rsidR="00494C38" w:rsidRPr="00954F58" w:rsidRDefault="00494C38" w:rsidP="00494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Ca:Mg RATIO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4310" w14:textId="77777777" w:rsidR="00494C38" w:rsidRPr="00954F58" w:rsidRDefault="00494C38" w:rsidP="00494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83C6" w14:textId="77777777" w:rsidR="00494C38" w:rsidRPr="00954F5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F6EF" w14:textId="77777777" w:rsidR="00494C38" w:rsidRPr="00954F5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E48D" w14:textId="77777777" w:rsidR="00494C38" w:rsidRPr="00954F5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B1C4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7D0D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3530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494C38" w:rsidRPr="00494C38" w14:paraId="7FE4F59B" w14:textId="77777777" w:rsidTr="00102EA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D97D" w14:textId="77777777" w:rsidR="00494C38" w:rsidRPr="00954F58" w:rsidRDefault="00494C38" w:rsidP="00494C3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REGIONAL</w:t>
            </w:r>
            <w:r w:rsidRPr="00954F58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3667" w14:textId="77777777" w:rsidR="00494C38" w:rsidRPr="00954F58" w:rsidRDefault="00494C38" w:rsidP="00494C3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C46A" w14:textId="77777777" w:rsidR="00494C38" w:rsidRPr="00954F5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FCC9" w14:textId="77777777" w:rsidR="00494C38" w:rsidRPr="00954F5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8289" w14:textId="77777777" w:rsidR="00494C38" w:rsidRPr="00954F58" w:rsidRDefault="00494C38" w:rsidP="0049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A19A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7700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FDC4" w14:textId="77777777" w:rsidR="00494C38" w:rsidRPr="00494C38" w:rsidRDefault="00494C38" w:rsidP="0049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DB4F94" w:rsidRPr="002362A9" w14:paraId="59DA830D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3E5D" w14:textId="77777777" w:rsidR="00DB4F94" w:rsidRPr="00954F58" w:rsidRDefault="00DB4F94" w:rsidP="00DB4F94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Cariboo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1D6D" w14:textId="24C4DF25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D9572" w14:textId="2DF2BE8F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4.7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0EC2" w14:textId="31365243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0.1-15.6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E1DF" w14:textId="6FEBC0C0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2.1-3.8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0719" w14:textId="499DD141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10D1" w14:textId="28B0A78F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1.7-3.8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E762" w14:textId="77777777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</w:tr>
      <w:tr w:rsidR="00DB4F94" w:rsidRPr="002362A9" w14:paraId="11F4088F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6B81" w14:textId="77777777" w:rsidR="00DB4F94" w:rsidRPr="00954F58" w:rsidRDefault="00DB4F94" w:rsidP="00DB4F94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Kootenay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0F47" w14:textId="58680F88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DE15A" w14:textId="14ECDF43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5.8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E2E8" w14:textId="435618ED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2.6-17.5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B45F" w14:textId="578FE951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2.6-4.6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9567" w14:textId="0FC3F5FA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51AF" w14:textId="01809F94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2.1-4.6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6210" w14:textId="77777777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O-I</w:t>
            </w:r>
          </w:p>
        </w:tc>
      </w:tr>
      <w:tr w:rsidR="00DB4F94" w:rsidRPr="002362A9" w14:paraId="49B18A7E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1C75" w14:textId="77777777" w:rsidR="00DB4F94" w:rsidRPr="00954F58" w:rsidRDefault="00DB4F94" w:rsidP="00DB4F94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Lower Mainland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8B6C" w14:textId="4404B663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27CAF" w14:textId="033D368A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7.0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263B" w14:textId="27A81E07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2</w:t>
            </w:r>
            <w:r w:rsidR="006275AE" w:rsidRPr="00954F58">
              <w:rPr>
                <w:sz w:val="20"/>
                <w:szCs w:val="20"/>
              </w:rPr>
              <w:t>.0</w:t>
            </w:r>
            <w:r w:rsidRPr="00954F58">
              <w:rPr>
                <w:sz w:val="20"/>
                <w:szCs w:val="20"/>
              </w:rPr>
              <w:t>-27.9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8B68" w14:textId="01A45AE2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3.1-5.6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1D26" w14:textId="4A0CDFF6" w:rsidR="00DB4F94" w:rsidRPr="002362A9" w:rsidRDefault="00210327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2B20" w14:textId="6A7BD9B1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2.5-5.6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28E4" w14:textId="12E481BA" w:rsidR="00DB4F94" w:rsidRPr="002362A9" w:rsidRDefault="003300B0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</w:tr>
      <w:tr w:rsidR="00DB4F94" w:rsidRPr="002362A9" w14:paraId="2754B297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F18B" w14:textId="77777777" w:rsidR="00DB4F94" w:rsidRPr="00954F58" w:rsidRDefault="00DB4F94" w:rsidP="00DB4F94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Okanagan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3F4F" w14:textId="5F096A30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67D10" w14:textId="7163EC29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5.6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8D9A" w14:textId="2291A3AC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0.6-15.9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2F07" w14:textId="2C04AB73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2.5-4.5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F08B" w14:textId="6AF8B136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C588" w14:textId="6E0E0ED8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275AE"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E5B8" w14:textId="3FCAD670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</w:tr>
      <w:tr w:rsidR="00DB4F94" w:rsidRPr="002362A9" w14:paraId="75F9E821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1029" w14:textId="77777777" w:rsidR="00DB4F94" w:rsidRPr="00954F58" w:rsidRDefault="00DB4F94" w:rsidP="00DB4F94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Omineca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F5C5" w14:textId="258A1A8B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D7096" w14:textId="28F9D06B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3.6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2B97" w14:textId="75163FF5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1.8-10.1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3EDB" w14:textId="7E410ADF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1.6-2.9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5344" w14:textId="77777777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O-I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2D58" w14:textId="6010F325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1.3-2.9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7A6A" w14:textId="77777777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O-I</w:t>
            </w:r>
          </w:p>
        </w:tc>
      </w:tr>
      <w:tr w:rsidR="00DB4F94" w:rsidRPr="002362A9" w14:paraId="0A0EAB0C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3FF7" w14:textId="77777777" w:rsidR="00DB4F94" w:rsidRPr="00954F58" w:rsidRDefault="00DB4F94" w:rsidP="00DB4F94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Peace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9183" w14:textId="19745A2B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43ED" w14:textId="04FB4EED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C62C" w14:textId="311BC8E0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2</w:t>
            </w:r>
            <w:r w:rsidR="006275AE" w:rsidRPr="00954F58">
              <w:rPr>
                <w:sz w:val="20"/>
                <w:szCs w:val="20"/>
              </w:rPr>
              <w:t>.0</w:t>
            </w:r>
            <w:r w:rsidRPr="00954F58">
              <w:rPr>
                <w:sz w:val="20"/>
                <w:szCs w:val="20"/>
              </w:rPr>
              <w:t>-5</w:t>
            </w:r>
            <w:r w:rsidR="006275AE" w:rsidRPr="00954F58">
              <w:rPr>
                <w:sz w:val="20"/>
                <w:szCs w:val="20"/>
              </w:rPr>
              <w:t>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4F30" w14:textId="795DF346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1.5-2.8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D00A" w14:textId="77777777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O-I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BCD2" w14:textId="6D204DCB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1.3-2.8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65B5" w14:textId="77777777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O-I</w:t>
            </w:r>
          </w:p>
        </w:tc>
      </w:tr>
      <w:tr w:rsidR="00DB4F94" w:rsidRPr="002362A9" w14:paraId="3D556BE7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9A1D" w14:textId="77777777" w:rsidR="00DB4F94" w:rsidRPr="00954F58" w:rsidRDefault="00DB4F94" w:rsidP="00DB4F94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Skeena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318F" w14:textId="0805C8EB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31DC" w14:textId="4A775264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6.2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A8E0" w14:textId="436F1108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1.2-31.7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7F0E" w14:textId="5A545360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2.7-5</w:t>
            </w:r>
            <w:r w:rsidR="00DD6819"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0238" w14:textId="77777777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F8C9" w14:textId="6D6E5046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2.2-5</w:t>
            </w:r>
            <w:r w:rsidR="006275AE"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F3B6" w14:textId="77777777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</w:tr>
      <w:tr w:rsidR="00DB4F94" w:rsidRPr="002362A9" w14:paraId="4C85AC84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4E25" w14:textId="20E54747" w:rsidR="00DB4F94" w:rsidRPr="00954F58" w:rsidRDefault="00DB4F94" w:rsidP="00DB4F94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Central Interior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9106" w14:textId="241E9DC4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53C4" w14:textId="51479926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rFonts w:cstheme="minorHAnsi"/>
                <w:sz w:val="20"/>
                <w:szCs w:val="20"/>
              </w:rPr>
              <w:t>8.6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7613" w14:textId="25D2E5CD" w:rsidR="00DB4F94" w:rsidRPr="00954F58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954F58">
              <w:rPr>
                <w:sz w:val="20"/>
                <w:szCs w:val="20"/>
              </w:rPr>
              <w:t>1.7-36.8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71B9" w14:textId="5460EC05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3.8-6.9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903E" w14:textId="77777777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3952" w14:textId="3B2C1809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3.1-6.9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CB5E" w14:textId="77777777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</w:tr>
      <w:tr w:rsidR="00DB4F94" w:rsidRPr="002362A9" w14:paraId="70D93121" w14:textId="77777777" w:rsidTr="00954F5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15DA" w14:textId="77777777" w:rsidR="00DB4F94" w:rsidRPr="003D3E35" w:rsidRDefault="00DB4F94" w:rsidP="00DB4F94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D3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Vancouver Island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1420" w14:textId="792A50D1" w:rsidR="00DB4F94" w:rsidRPr="003D3E35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527A93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FF7D9" w14:textId="0682022D" w:rsidR="00DB4F94" w:rsidRPr="003D56FD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D56FD">
              <w:rPr>
                <w:rFonts w:cstheme="minorHAnsi"/>
                <w:sz w:val="20"/>
                <w:szCs w:val="20"/>
              </w:rPr>
              <w:t>6.6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3313" w14:textId="30F234BD" w:rsidR="00DB4F94" w:rsidRPr="003D56FD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D56FD">
              <w:rPr>
                <w:sz w:val="20"/>
                <w:szCs w:val="20"/>
              </w:rPr>
              <w:t>2.5-24.2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2177" w14:textId="5721B431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2.9-5.3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A998" w14:textId="77777777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247B" w14:textId="768CBE0E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2.4-5.3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4AB1" w14:textId="460F206C" w:rsidR="00DB4F94" w:rsidRPr="002362A9" w:rsidRDefault="003300B0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O-</w:t>
            </w:r>
            <w:r w:rsidR="00DB4F94"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</w:tr>
      <w:tr w:rsidR="00DB4F94" w:rsidRPr="002362A9" w14:paraId="3D2E5D42" w14:textId="77777777" w:rsidTr="00954F58">
        <w:trPr>
          <w:trHeight w:val="294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AE1B" w14:textId="77777777" w:rsidR="00DB4F94" w:rsidRPr="003D3E35" w:rsidRDefault="00DB4F94" w:rsidP="00DB4F94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D3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PROVINCIAL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A2A09" w14:textId="1778654F" w:rsidR="00DB4F94" w:rsidRPr="003D3E35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527A93">
              <w:rPr>
                <w:rFonts w:cstheme="minorHAnsi"/>
                <w:sz w:val="20"/>
                <w:szCs w:val="20"/>
              </w:rPr>
              <w:t>546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B6826" w14:textId="6A67A59F" w:rsidR="00DB4F94" w:rsidRPr="003D56FD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D56FD">
              <w:rPr>
                <w:rFonts w:cstheme="minorHAnsi"/>
                <w:sz w:val="20"/>
                <w:szCs w:val="20"/>
              </w:rPr>
              <w:t>5.9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3B37" w14:textId="1D0134A5" w:rsidR="00DB4F94" w:rsidRPr="003D56FD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3D56FD">
              <w:rPr>
                <w:sz w:val="20"/>
                <w:szCs w:val="20"/>
              </w:rPr>
              <w:t>0.1-36.8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79CC6" w14:textId="0A9109EE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2.6-4.7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3212" w14:textId="77777777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BA3B9" w14:textId="6C254ACC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hAnsi="Calibri" w:cs="Calibri"/>
                <w:color w:val="000000"/>
                <w:sz w:val="20"/>
                <w:szCs w:val="20"/>
              </w:rPr>
              <w:t>2.1-4.7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B91C" w14:textId="77777777" w:rsidR="00DB4F94" w:rsidRPr="002362A9" w:rsidRDefault="00DB4F94" w:rsidP="00DB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2362A9"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  <w:t>I</w:t>
            </w:r>
          </w:p>
        </w:tc>
      </w:tr>
    </w:tbl>
    <w:p w14:paraId="4A057E88" w14:textId="77777777" w:rsidR="00105E2A" w:rsidRPr="00105E2A" w:rsidRDefault="00105E2A" w:rsidP="00105E2A">
      <w:pPr>
        <w:spacing w:after="0"/>
        <w:rPr>
          <w:sz w:val="20"/>
          <w:vertAlign w:val="superscript"/>
          <w:lang w:val="en-CA"/>
        </w:rPr>
      </w:pPr>
      <w:r w:rsidRPr="00105E2A">
        <w:rPr>
          <w:sz w:val="20"/>
        </w:rPr>
        <w:t xml:space="preserve">Notes: </w:t>
      </w:r>
      <w:r w:rsidRPr="00105E2A">
        <w:rPr>
          <w:sz w:val="20"/>
          <w:vertAlign w:val="superscript"/>
          <w:lang w:val="en-CA"/>
        </w:rPr>
        <w:t>a</w:t>
      </w:r>
      <w:r w:rsidRPr="00105E2A">
        <w:rPr>
          <w:sz w:val="20"/>
        </w:rPr>
        <w:t>WQG</w:t>
      </w:r>
      <w:r w:rsidRPr="00105E2A">
        <w:rPr>
          <w:sz w:val="20"/>
          <w:lang w:val="en-CA"/>
        </w:rPr>
        <w:t xml:space="preserve"> was a 78% increase in hardness;</w:t>
      </w:r>
      <w:r w:rsidRPr="00105E2A">
        <w:rPr>
          <w:iCs/>
          <w:sz w:val="20"/>
          <w:lang w:val="en-CA"/>
        </w:rPr>
        <w:t xml:space="preserve"> </w:t>
      </w:r>
      <w:r w:rsidRPr="00105E2A">
        <w:rPr>
          <w:sz w:val="20"/>
        </w:rPr>
        <w:t>WQG</w:t>
      </w:r>
      <w:r w:rsidRPr="00105E2A">
        <w:rPr>
          <w:sz w:val="20"/>
          <w:lang w:val="en-CA"/>
        </w:rPr>
        <w:t xml:space="preserve"> for Ca:Mg ratio was a 56% decrease and a 20% increase</w:t>
      </w:r>
    </w:p>
    <w:p w14:paraId="4FD3F87A" w14:textId="77777777" w:rsidR="00105E2A" w:rsidRPr="00105E2A" w:rsidRDefault="00105E2A" w:rsidP="00105E2A">
      <w:pPr>
        <w:spacing w:after="0"/>
        <w:rPr>
          <w:sz w:val="20"/>
          <w:lang w:val="en-CA"/>
        </w:rPr>
      </w:pPr>
      <w:r w:rsidRPr="00105E2A">
        <w:rPr>
          <w:sz w:val="20"/>
          <w:vertAlign w:val="superscript"/>
          <w:lang w:val="en-CA"/>
        </w:rPr>
        <w:t>b</w:t>
      </w:r>
      <w:r w:rsidRPr="00105E2A">
        <w:rPr>
          <w:sz w:val="20"/>
        </w:rPr>
        <w:t>WQG</w:t>
      </w:r>
      <w:r w:rsidRPr="00105E2A">
        <w:rPr>
          <w:sz w:val="20"/>
          <w:lang w:val="en-CA"/>
        </w:rPr>
        <w:t xml:space="preserve"> was a 316% increase in hardness; WQG for Ca:Mg ratio was a 64% decrease and a 20% increase.</w:t>
      </w:r>
    </w:p>
    <w:p w14:paraId="61F7CBD3" w14:textId="2363E2EE" w:rsidR="005E4248" w:rsidRDefault="005E4248" w:rsidP="005E4248">
      <w:pPr>
        <w:spacing w:after="0"/>
        <w:rPr>
          <w:color w:val="333333"/>
          <w:sz w:val="20"/>
          <w:lang w:val="en-CA" w:eastAsia="en-CA"/>
        </w:rPr>
      </w:pPr>
    </w:p>
    <w:p w14:paraId="7FD8F614" w14:textId="7C10482D" w:rsidR="00852C8E" w:rsidRDefault="00852C8E" w:rsidP="005E4248">
      <w:pPr>
        <w:spacing w:after="0"/>
        <w:ind w:right="4958"/>
        <w:rPr>
          <w:color w:val="333333"/>
          <w:sz w:val="20"/>
          <w:lang w:val="en-CA" w:eastAsia="en-CA"/>
        </w:rPr>
      </w:pPr>
    </w:p>
    <w:p w14:paraId="10FC74CB" w14:textId="052AC4A7" w:rsidR="00110A9F" w:rsidRDefault="00110A9F" w:rsidP="00B939DE">
      <w:pPr>
        <w:spacing w:after="0"/>
        <w:ind w:right="26"/>
        <w:rPr>
          <w:color w:val="333333"/>
          <w:sz w:val="20"/>
          <w:lang w:val="en-CA" w:eastAsia="en-CA"/>
        </w:rPr>
      </w:pPr>
    </w:p>
    <w:p w14:paraId="54C6DCC2" w14:textId="6C0FF11D" w:rsidR="00D6119F" w:rsidRDefault="00D6119F">
      <w:pPr>
        <w:rPr>
          <w:color w:val="333333"/>
          <w:sz w:val="20"/>
          <w:lang w:val="en-CA" w:eastAsia="en-CA"/>
        </w:rPr>
      </w:pPr>
      <w:r>
        <w:rPr>
          <w:color w:val="333333"/>
          <w:sz w:val="20"/>
          <w:lang w:val="en-CA" w:eastAsia="en-CA"/>
        </w:rPr>
        <w:br w:type="page"/>
      </w:r>
    </w:p>
    <w:p w14:paraId="3AA1E24B" w14:textId="077926B5" w:rsidR="00D6119F" w:rsidRDefault="00974AA4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lastRenderedPageBreak/>
        <w:t>List</w:t>
      </w:r>
      <w:r w:rsidR="00D6119F" w:rsidRPr="00B9672D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S</w:t>
      </w:r>
      <w:r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1</w:t>
      </w:r>
      <w:r w:rsidR="00D6119F" w:rsidRPr="00B9672D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.</w:t>
      </w:r>
      <w:r w:rsidR="00D6119F" w:rsidRPr="00B9672D">
        <w:rPr>
          <w:rFonts w:ascii="Palatino-Roman" w:hAnsi="Palatino-Roman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D3F6A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Additional </w:t>
      </w:r>
      <w:r w:rsidR="00AF297F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abiotic variables </w:t>
      </w:r>
      <w:r w:rsidR="00BF68F8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that were </w:t>
      </w:r>
      <w:r w:rsidR="00AF297F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required for </w:t>
      </w:r>
      <w:r w:rsidR="00BF68F8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collected articles to be considered</w:t>
      </w:r>
      <w:r w:rsidR="00AF297F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secondary sources</w:t>
      </w:r>
      <w:r w:rsidR="00BF68F8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,</w:t>
      </w:r>
      <w:r w:rsidR="000967D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not </w:t>
      </w:r>
      <w:r w:rsidR="00BF68F8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already </w:t>
      </w:r>
      <w:r w:rsidR="000967D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outlined in the </w:t>
      </w:r>
      <w:r w:rsidR="00BF68F8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main text</w:t>
      </w:r>
      <w:r w:rsidR="0025325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2F3760" w14:paraId="76F51AAF" w14:textId="77777777" w:rsidTr="00F2231A">
        <w:tc>
          <w:tcPr>
            <w:tcW w:w="8658" w:type="dxa"/>
          </w:tcPr>
          <w:p w14:paraId="5649186D" w14:textId="2443E3A0" w:rsidR="002F3760" w:rsidRPr="00D92DA9" w:rsidRDefault="00AF297F" w:rsidP="00F2231A">
            <w:pPr>
              <w:pStyle w:val="ListParagraph"/>
              <w:numPr>
                <w:ilvl w:val="0"/>
                <w:numId w:val="1"/>
              </w:numPr>
              <w:ind w:right="26"/>
              <w:rPr>
                <w:color w:val="333333"/>
                <w:lang w:val="en-CA" w:eastAsia="en-CA"/>
              </w:rPr>
            </w:pPr>
            <w:r w:rsidRPr="00D92DA9">
              <w:rPr>
                <w:color w:val="333333"/>
                <w:lang w:val="en-CA" w:eastAsia="en-CA"/>
              </w:rPr>
              <w:t>Full reference</w:t>
            </w:r>
          </w:p>
        </w:tc>
      </w:tr>
      <w:tr w:rsidR="002F3760" w14:paraId="60579A4D" w14:textId="77777777" w:rsidTr="00F2231A">
        <w:tc>
          <w:tcPr>
            <w:tcW w:w="8658" w:type="dxa"/>
          </w:tcPr>
          <w:p w14:paraId="340D9DEA" w14:textId="22937468" w:rsidR="002F3760" w:rsidRPr="00D92DA9" w:rsidRDefault="000967DD" w:rsidP="00F2231A">
            <w:pPr>
              <w:pStyle w:val="ListParagraph"/>
              <w:numPr>
                <w:ilvl w:val="0"/>
                <w:numId w:val="1"/>
              </w:numPr>
              <w:ind w:right="26"/>
              <w:rPr>
                <w:color w:val="333333"/>
                <w:lang w:val="en-CA" w:eastAsia="en-CA"/>
              </w:rPr>
            </w:pPr>
            <w:r w:rsidRPr="00D92DA9">
              <w:rPr>
                <w:color w:val="333333"/>
                <w:lang w:val="en-CA" w:eastAsia="en-CA"/>
              </w:rPr>
              <w:t>Identity of the c</w:t>
            </w:r>
            <w:r w:rsidR="00AF297F" w:rsidRPr="00D92DA9">
              <w:rPr>
                <w:color w:val="333333"/>
                <w:lang w:val="en-CA" w:eastAsia="en-CA"/>
              </w:rPr>
              <w:t>hemical/compound tested</w:t>
            </w:r>
          </w:p>
        </w:tc>
      </w:tr>
      <w:tr w:rsidR="002F3760" w14:paraId="0379647E" w14:textId="77777777" w:rsidTr="00F2231A">
        <w:tc>
          <w:tcPr>
            <w:tcW w:w="8658" w:type="dxa"/>
          </w:tcPr>
          <w:p w14:paraId="1BC77549" w14:textId="20C46BBE" w:rsidR="002F3760" w:rsidRPr="00D92DA9" w:rsidRDefault="00AF297F" w:rsidP="00F2231A">
            <w:pPr>
              <w:pStyle w:val="ListParagraph"/>
              <w:numPr>
                <w:ilvl w:val="0"/>
                <w:numId w:val="1"/>
              </w:numPr>
              <w:ind w:right="26"/>
              <w:rPr>
                <w:color w:val="333333"/>
                <w:lang w:val="en-CA" w:eastAsia="en-CA"/>
              </w:rPr>
            </w:pPr>
            <w:r w:rsidRPr="00D92DA9">
              <w:rPr>
                <w:color w:val="333333"/>
                <w:lang w:val="en-CA" w:eastAsia="en-CA"/>
              </w:rPr>
              <w:t>Organism name (common or Latin)</w:t>
            </w:r>
          </w:p>
        </w:tc>
      </w:tr>
      <w:tr w:rsidR="002F3760" w14:paraId="50930A47" w14:textId="77777777" w:rsidTr="00F2231A">
        <w:tc>
          <w:tcPr>
            <w:tcW w:w="8658" w:type="dxa"/>
          </w:tcPr>
          <w:p w14:paraId="6310EB58" w14:textId="7BF1B2D5" w:rsidR="002F3760" w:rsidRPr="00D92DA9" w:rsidRDefault="00AF297F" w:rsidP="00F2231A">
            <w:pPr>
              <w:pStyle w:val="ListParagraph"/>
              <w:numPr>
                <w:ilvl w:val="0"/>
                <w:numId w:val="1"/>
              </w:numPr>
              <w:ind w:right="26"/>
              <w:rPr>
                <w:color w:val="333333"/>
                <w:lang w:val="en-CA" w:eastAsia="en-CA"/>
              </w:rPr>
            </w:pPr>
            <w:r w:rsidRPr="00D92DA9">
              <w:rPr>
                <w:color w:val="333333"/>
                <w:lang w:val="en-CA" w:eastAsia="en-CA"/>
              </w:rPr>
              <w:t>Life stage (e.g., egg, embryo, larva, tadpole, alevin, juvenile, adult)</w:t>
            </w:r>
          </w:p>
        </w:tc>
      </w:tr>
      <w:tr w:rsidR="002F3760" w14:paraId="39A8963D" w14:textId="77777777" w:rsidTr="00F2231A">
        <w:tc>
          <w:tcPr>
            <w:tcW w:w="8658" w:type="dxa"/>
          </w:tcPr>
          <w:p w14:paraId="33FE36A3" w14:textId="5D1425A0" w:rsidR="002F3760" w:rsidRPr="00D92DA9" w:rsidRDefault="00AF297F" w:rsidP="00F2231A">
            <w:pPr>
              <w:pStyle w:val="ListParagraph"/>
              <w:numPr>
                <w:ilvl w:val="0"/>
                <w:numId w:val="1"/>
              </w:numPr>
              <w:ind w:right="26"/>
              <w:rPr>
                <w:color w:val="333333"/>
                <w:lang w:val="en-CA" w:eastAsia="en-CA"/>
              </w:rPr>
            </w:pPr>
            <w:r w:rsidRPr="00D92DA9">
              <w:rPr>
                <w:color w:val="333333"/>
                <w:lang w:val="en-CA" w:eastAsia="en-CA"/>
              </w:rPr>
              <w:t>Toxicity test duration, endpoint, and effect</w:t>
            </w:r>
          </w:p>
        </w:tc>
      </w:tr>
      <w:tr w:rsidR="002F3760" w14:paraId="108C5AFB" w14:textId="77777777" w:rsidTr="00F2231A">
        <w:tc>
          <w:tcPr>
            <w:tcW w:w="8658" w:type="dxa"/>
          </w:tcPr>
          <w:p w14:paraId="13987244" w14:textId="7E465061" w:rsidR="002F3760" w:rsidRPr="00D92DA9" w:rsidRDefault="00AF297F" w:rsidP="00F2231A">
            <w:pPr>
              <w:pStyle w:val="ListParagraph"/>
              <w:numPr>
                <w:ilvl w:val="0"/>
                <w:numId w:val="1"/>
              </w:numPr>
              <w:ind w:right="26"/>
              <w:rPr>
                <w:color w:val="333333"/>
                <w:lang w:val="en-CA" w:eastAsia="en-CA"/>
              </w:rPr>
            </w:pPr>
            <w:r w:rsidRPr="00D92DA9">
              <w:rPr>
                <w:color w:val="333333"/>
                <w:lang w:val="en-CA" w:eastAsia="en-CA"/>
              </w:rPr>
              <w:t>Endpoint type (acute, chronic)</w:t>
            </w:r>
          </w:p>
        </w:tc>
      </w:tr>
    </w:tbl>
    <w:p w14:paraId="35ADD24B" w14:textId="686945D9" w:rsidR="004D3F6A" w:rsidRDefault="004D3F6A" w:rsidP="00B939DE">
      <w:pPr>
        <w:spacing w:after="0"/>
        <w:ind w:right="26"/>
        <w:rPr>
          <w:color w:val="333333"/>
          <w:sz w:val="20"/>
          <w:lang w:val="en-CA" w:eastAsia="en-CA"/>
        </w:rPr>
      </w:pPr>
    </w:p>
    <w:p w14:paraId="5FC1AA08" w14:textId="77777777" w:rsidR="007A52BC" w:rsidRDefault="007A52BC" w:rsidP="00B939DE">
      <w:pPr>
        <w:spacing w:after="0"/>
        <w:ind w:right="26"/>
        <w:rPr>
          <w:color w:val="333333"/>
          <w:sz w:val="20"/>
          <w:lang w:val="en-CA" w:eastAsia="en-CA"/>
        </w:rPr>
      </w:pPr>
    </w:p>
    <w:p w14:paraId="2903D873" w14:textId="040E393B" w:rsidR="007A52BC" w:rsidRPr="007A52BC" w:rsidRDefault="007A52BC" w:rsidP="00B939DE">
      <w:pPr>
        <w:spacing w:after="0"/>
        <w:ind w:right="26"/>
        <w:rPr>
          <w:color w:val="333333"/>
          <w:sz w:val="20"/>
          <w:lang w:val="en-CA" w:eastAsia="en-CA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Additional classification criteria not presented in the main article text (i.e. they were unmodified from the source protocol) are the following:  </w:t>
      </w:r>
      <w:r w:rsidRPr="007A52B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Test conditions had to be reported where flow through tests were considered primary, static renewal tests as primary/secondary, and those with unspecified conditions were deemed unacceptable. Articles were considered as primary sources if the </w:t>
      </w:r>
      <w:r w:rsidR="003E6BF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toxicity </w:t>
      </w:r>
      <w:r w:rsidRPr="007A52B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test method and analytical techniques used were based on standard</w:t>
      </w:r>
      <w:r w:rsidR="003E6BF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protocols or </w:t>
      </w:r>
      <w:r w:rsidRPr="007A52B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published procedures, as secondary </w:t>
      </w:r>
      <w:r w:rsidR="003E6BF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sources </w:t>
      </w:r>
      <w:r w:rsidRPr="007A52B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if novel methods/techniques were used but</w:t>
      </w:r>
      <w:r w:rsidR="003E6BF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were</w:t>
      </w:r>
      <w:r w:rsidRPr="007A52B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fully described, and </w:t>
      </w:r>
      <w:r w:rsidR="003E6BF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else were considered as </w:t>
      </w:r>
      <w:r w:rsidRPr="007A52B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unacceptable. The statistics or method of calculating the effect concentrations had to be appropriate for the data</w:t>
      </w:r>
      <w:r w:rsidR="003E6BF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/study design</w:t>
      </w:r>
      <w:r w:rsidRPr="007A52B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</w:t>
      </w:r>
      <w:r w:rsidR="003E6BF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for the article </w:t>
      </w:r>
      <w:r w:rsidRPr="007A52B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to be considered </w:t>
      </w:r>
      <w:r w:rsidR="003E6BF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as </w:t>
      </w:r>
      <w:r w:rsidRPr="007A52B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primary or secondary.</w:t>
      </w:r>
    </w:p>
    <w:p w14:paraId="1B383A62" w14:textId="572474ED" w:rsidR="004D3F6A" w:rsidRDefault="004D3F6A" w:rsidP="00B939DE">
      <w:pPr>
        <w:spacing w:after="0"/>
        <w:ind w:right="26"/>
        <w:rPr>
          <w:color w:val="333333"/>
          <w:sz w:val="20"/>
          <w:lang w:val="en-CA" w:eastAsia="en-CA"/>
        </w:rPr>
      </w:pPr>
    </w:p>
    <w:p w14:paraId="2CA69233" w14:textId="0D4369CD" w:rsidR="004D3F6A" w:rsidRDefault="004D3F6A" w:rsidP="00B939DE">
      <w:pPr>
        <w:spacing w:after="0"/>
        <w:ind w:right="26"/>
        <w:rPr>
          <w:color w:val="333333"/>
          <w:sz w:val="20"/>
          <w:lang w:val="en-CA" w:eastAsia="en-CA"/>
        </w:rPr>
      </w:pPr>
    </w:p>
    <w:p w14:paraId="6E3E8495" w14:textId="6F714149" w:rsidR="004D3F6A" w:rsidRDefault="004D3F6A" w:rsidP="00B939DE">
      <w:pPr>
        <w:spacing w:after="0"/>
        <w:ind w:right="26"/>
        <w:rPr>
          <w:color w:val="333333"/>
          <w:sz w:val="20"/>
          <w:lang w:val="en-CA" w:eastAsia="en-CA"/>
        </w:rPr>
      </w:pPr>
    </w:p>
    <w:p w14:paraId="66E282C8" w14:textId="2F4AB06A" w:rsidR="00571E6E" w:rsidRDefault="00571E6E">
      <w:pPr>
        <w:rPr>
          <w:color w:val="333333"/>
          <w:sz w:val="20"/>
          <w:lang w:val="en-CA" w:eastAsia="en-CA"/>
        </w:rPr>
      </w:pPr>
      <w:r>
        <w:rPr>
          <w:color w:val="333333"/>
          <w:sz w:val="20"/>
          <w:lang w:val="en-CA" w:eastAsia="en-CA"/>
        </w:rPr>
        <w:br w:type="page"/>
      </w:r>
    </w:p>
    <w:p w14:paraId="5F5EA96C" w14:textId="3ED445CF" w:rsidR="004D3F6A" w:rsidRDefault="00BD6447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lastRenderedPageBreak/>
        <w:t>Calc</w:t>
      </w:r>
      <w:r w:rsidR="00D35472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s</w:t>
      </w:r>
      <w:r w:rsidR="00571E6E" w:rsidRPr="00B9672D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S</w:t>
      </w:r>
      <w:r w:rsidR="00571E6E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1</w:t>
      </w:r>
      <w:r w:rsidR="00571E6E" w:rsidRPr="00B9672D">
        <w:rPr>
          <w:rFonts w:ascii="Palatino-Roman" w:hAnsi="Palatino-Roman" w:cs="Arial"/>
          <w:b/>
          <w:color w:val="333333"/>
          <w:sz w:val="24"/>
          <w:szCs w:val="24"/>
          <w:shd w:val="clear" w:color="auto" w:fill="FFFFFF"/>
          <w:lang w:val="en-US"/>
        </w:rPr>
        <w:t>.</w:t>
      </w:r>
      <w:r w:rsidR="00571E6E" w:rsidRPr="00B9672D">
        <w:rPr>
          <w:rFonts w:ascii="Palatino-Roman" w:hAnsi="Palatino-Roman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B40EE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Example</w:t>
      </w:r>
      <w:r w:rsidR="00A52D3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calculation </w:t>
      </w:r>
      <w:r w:rsidR="00AD7FB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showing</w:t>
      </w:r>
      <w:r w:rsidR="00A52D3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application of the 2-component, background condition approach</w:t>
      </w:r>
      <w:r w:rsidR="00DC2020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to </w:t>
      </w:r>
      <w:r w:rsidR="00D0072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an example dataset</w:t>
      </w:r>
      <w:r w:rsidR="00D475AF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in four steps</w:t>
      </w:r>
      <w:r w:rsidR="00AD7FB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.</w:t>
      </w:r>
    </w:p>
    <w:p w14:paraId="7815C152" w14:textId="74DEA643" w:rsidR="00D0072D" w:rsidRDefault="00D0072D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1C9D55D9" w14:textId="06F1E353" w:rsidR="00D0072D" w:rsidRDefault="003A6B80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b/>
          <w:color w:val="333333"/>
          <w:sz w:val="20"/>
          <w:shd w:val="clear" w:color="auto" w:fill="FFFFFF"/>
          <w:lang w:val="en-US"/>
        </w:rPr>
        <w:t xml:space="preserve">Step </w:t>
      </w:r>
      <w:r w:rsidR="003C24CE" w:rsidRPr="003A6B80">
        <w:rPr>
          <w:rFonts w:ascii="Palatino-Roman" w:hAnsi="Palatino-Roman" w:cs="Arial"/>
          <w:b/>
          <w:color w:val="333333"/>
          <w:sz w:val="20"/>
          <w:shd w:val="clear" w:color="auto" w:fill="FFFFFF"/>
          <w:lang w:val="en-US"/>
        </w:rPr>
        <w:t>1)</w:t>
      </w:r>
      <w:r w:rsidR="003C24CE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</w:t>
      </w:r>
      <w:r w:rsidR="008D7F20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T</w:t>
      </w:r>
      <w:r w:rsidR="00D0072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he </w:t>
      </w:r>
      <w:r w:rsidR="009D5489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exemplar</w:t>
      </w:r>
      <w:r w:rsidR="00D0072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</w:t>
      </w:r>
      <w:r w:rsidR="00971ADA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(fictitious) </w:t>
      </w:r>
      <w:r w:rsidR="00D0072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dataset </w:t>
      </w:r>
      <w:r w:rsidR="00BF68F8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used in the below </w:t>
      </w:r>
      <w:r w:rsidR="008D7F20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example calculation </w:t>
      </w:r>
      <w:r w:rsidR="00D0072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is</w:t>
      </w:r>
      <w:r w:rsidR="008D7F20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the following</w:t>
      </w:r>
      <w:r w:rsidR="00D0072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1582"/>
        <w:gridCol w:w="1740"/>
        <w:gridCol w:w="1501"/>
        <w:gridCol w:w="1871"/>
        <w:gridCol w:w="1636"/>
      </w:tblGrid>
      <w:tr w:rsidR="006F24AB" w14:paraId="09C11891" w14:textId="77777777" w:rsidTr="00474399">
        <w:tc>
          <w:tcPr>
            <w:tcW w:w="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792CBF" w14:textId="15119F77" w:rsidR="006F24AB" w:rsidRDefault="006F24AB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Species</w:t>
            </w: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B1FD8A" w14:textId="578FE51A" w:rsidR="006F24AB" w:rsidRDefault="006F24AB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Effect endpoint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B64233" w14:textId="1EBA7F4A" w:rsidR="006F24AB" w:rsidRDefault="006F24AB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Effect concentration:  Water hardness (mg/L as CaCO</w:t>
            </w:r>
            <w:r w:rsidRPr="00D0072D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8EB22C" w14:textId="77777777" w:rsidR="006F24AB" w:rsidRDefault="006F24AB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Effect concentration: Ca:Mg ratio</w:t>
            </w:r>
          </w:p>
          <w:p w14:paraId="41167BD0" w14:textId="425002F8" w:rsidR="00CA5584" w:rsidRDefault="00CA5584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98B9E0" w14:textId="566664B6" w:rsidR="006F24AB" w:rsidRDefault="006F24AB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Background</w:t>
            </w:r>
            <w:r w:rsidR="005708C2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: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 xml:space="preserve"> </w:t>
            </w:r>
            <w:r w:rsidR="005708C2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W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ater hardness (mg/L as CaCO</w:t>
            </w:r>
            <w:r w:rsidRPr="00D0072D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56B44F" w14:textId="77777777" w:rsidR="006F24AB" w:rsidRDefault="006F24AB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Background</w:t>
            </w:r>
            <w:r w:rsidR="005708C2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: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 xml:space="preserve"> Ca:Mg ratio</w:t>
            </w:r>
          </w:p>
          <w:p w14:paraId="7C1F7BA5" w14:textId="2B0A1865" w:rsidR="00CA5584" w:rsidRDefault="00CA5584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</w:p>
        </w:tc>
      </w:tr>
      <w:tr w:rsidR="006742F8" w14:paraId="1674891F" w14:textId="77777777" w:rsidTr="00474399">
        <w:tc>
          <w:tcPr>
            <w:tcW w:w="91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FD83177" w14:textId="601F4722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X</w:t>
            </w:r>
          </w:p>
        </w:tc>
        <w:tc>
          <w:tcPr>
            <w:tcW w:w="158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7D22EA3" w14:textId="761C1743" w:rsidR="006742F8" w:rsidRDefault="006742F8" w:rsidP="006742F8">
            <w:pPr>
              <w:ind w:right="26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IC10 reproduction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3EE8450" w14:textId="71C3F7A8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350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056C1FC" w14:textId="5A346314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32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B5CC0FA" w14:textId="5AA085ED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12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0642E42" w14:textId="4BCF2771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3.2</w:t>
            </w:r>
          </w:p>
        </w:tc>
      </w:tr>
      <w:tr w:rsidR="006742F8" w14:paraId="14C0260C" w14:textId="77777777" w:rsidTr="00474399">
        <w:tc>
          <w:tcPr>
            <w:tcW w:w="912" w:type="dxa"/>
            <w:tcBorders>
              <w:left w:val="nil"/>
              <w:right w:val="nil"/>
            </w:tcBorders>
            <w:vAlign w:val="center"/>
          </w:tcPr>
          <w:p w14:paraId="0FBD2AC7" w14:textId="2AF8D851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X</w:t>
            </w:r>
          </w:p>
        </w:tc>
        <w:tc>
          <w:tcPr>
            <w:tcW w:w="1582" w:type="dxa"/>
            <w:tcBorders>
              <w:left w:val="nil"/>
              <w:right w:val="nil"/>
            </w:tcBorders>
            <w:vAlign w:val="center"/>
          </w:tcPr>
          <w:p w14:paraId="18D9A672" w14:textId="7F2DC0DD" w:rsidR="006742F8" w:rsidRDefault="006742F8" w:rsidP="006742F8">
            <w:pPr>
              <w:ind w:right="26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IC50 growth</w:t>
            </w:r>
          </w:p>
        </w:tc>
        <w:tc>
          <w:tcPr>
            <w:tcW w:w="1740" w:type="dxa"/>
            <w:tcBorders>
              <w:left w:val="nil"/>
              <w:right w:val="nil"/>
            </w:tcBorders>
            <w:vAlign w:val="center"/>
          </w:tcPr>
          <w:p w14:paraId="671ED6D4" w14:textId="5EAC2C72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100</w:t>
            </w:r>
          </w:p>
        </w:tc>
        <w:tc>
          <w:tcPr>
            <w:tcW w:w="1501" w:type="dxa"/>
            <w:tcBorders>
              <w:left w:val="nil"/>
              <w:right w:val="nil"/>
            </w:tcBorders>
            <w:vAlign w:val="center"/>
          </w:tcPr>
          <w:p w14:paraId="2524683F" w14:textId="4387686B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0.01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00BFFB94" w14:textId="4AB76E1A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0.9</w:t>
            </w:r>
          </w:p>
        </w:tc>
        <w:tc>
          <w:tcPr>
            <w:tcW w:w="1636" w:type="dxa"/>
            <w:tcBorders>
              <w:left w:val="nil"/>
              <w:right w:val="nil"/>
            </w:tcBorders>
            <w:vAlign w:val="center"/>
          </w:tcPr>
          <w:p w14:paraId="60230334" w14:textId="409DD730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6.1</w:t>
            </w:r>
          </w:p>
        </w:tc>
      </w:tr>
      <w:tr w:rsidR="006742F8" w14:paraId="70914416" w14:textId="77777777" w:rsidTr="00474399">
        <w:tc>
          <w:tcPr>
            <w:tcW w:w="912" w:type="dxa"/>
            <w:tcBorders>
              <w:left w:val="nil"/>
              <w:right w:val="nil"/>
            </w:tcBorders>
            <w:vAlign w:val="center"/>
          </w:tcPr>
          <w:p w14:paraId="0686437E" w14:textId="441B8588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Y</w:t>
            </w:r>
          </w:p>
        </w:tc>
        <w:tc>
          <w:tcPr>
            <w:tcW w:w="1582" w:type="dxa"/>
            <w:tcBorders>
              <w:left w:val="nil"/>
              <w:right w:val="nil"/>
            </w:tcBorders>
            <w:vAlign w:val="center"/>
          </w:tcPr>
          <w:p w14:paraId="67D7DC5D" w14:textId="35425042" w:rsidR="006742F8" w:rsidRDefault="006742F8" w:rsidP="006742F8">
            <w:pPr>
              <w:ind w:right="26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IC20 growth</w:t>
            </w:r>
          </w:p>
        </w:tc>
        <w:tc>
          <w:tcPr>
            <w:tcW w:w="1740" w:type="dxa"/>
            <w:tcBorders>
              <w:left w:val="nil"/>
              <w:right w:val="nil"/>
            </w:tcBorders>
            <w:vAlign w:val="center"/>
          </w:tcPr>
          <w:p w14:paraId="5F2DC056" w14:textId="4F2C1DA9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1658</w:t>
            </w:r>
          </w:p>
        </w:tc>
        <w:tc>
          <w:tcPr>
            <w:tcW w:w="1501" w:type="dxa"/>
            <w:tcBorders>
              <w:left w:val="nil"/>
              <w:right w:val="nil"/>
            </w:tcBorders>
            <w:vAlign w:val="center"/>
          </w:tcPr>
          <w:p w14:paraId="79389A4D" w14:textId="507B7DF3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45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0B846DDE" w14:textId="340B7044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234</w:t>
            </w:r>
          </w:p>
        </w:tc>
        <w:tc>
          <w:tcPr>
            <w:tcW w:w="1636" w:type="dxa"/>
            <w:tcBorders>
              <w:left w:val="nil"/>
              <w:right w:val="nil"/>
            </w:tcBorders>
            <w:vAlign w:val="center"/>
          </w:tcPr>
          <w:p w14:paraId="727794B8" w14:textId="78863A67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26</w:t>
            </w:r>
          </w:p>
        </w:tc>
      </w:tr>
      <w:tr w:rsidR="006742F8" w14:paraId="7A08F13C" w14:textId="77777777" w:rsidTr="00474399">
        <w:tc>
          <w:tcPr>
            <w:tcW w:w="912" w:type="dxa"/>
            <w:tcBorders>
              <w:left w:val="nil"/>
              <w:right w:val="nil"/>
            </w:tcBorders>
            <w:vAlign w:val="center"/>
          </w:tcPr>
          <w:p w14:paraId="60142CD2" w14:textId="4FAF30A6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Y</w:t>
            </w:r>
          </w:p>
        </w:tc>
        <w:tc>
          <w:tcPr>
            <w:tcW w:w="1582" w:type="dxa"/>
            <w:tcBorders>
              <w:left w:val="nil"/>
              <w:right w:val="nil"/>
            </w:tcBorders>
            <w:vAlign w:val="center"/>
          </w:tcPr>
          <w:p w14:paraId="01085C38" w14:textId="47EE447D" w:rsidR="006742F8" w:rsidRDefault="006742F8" w:rsidP="006742F8">
            <w:pPr>
              <w:ind w:right="26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IC20 reproduction</w:t>
            </w:r>
          </w:p>
        </w:tc>
        <w:tc>
          <w:tcPr>
            <w:tcW w:w="1740" w:type="dxa"/>
            <w:tcBorders>
              <w:left w:val="nil"/>
              <w:right w:val="nil"/>
            </w:tcBorders>
            <w:vAlign w:val="center"/>
          </w:tcPr>
          <w:p w14:paraId="38C68159" w14:textId="1EE5A20E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501" w:type="dxa"/>
            <w:tcBorders>
              <w:left w:val="nil"/>
              <w:right w:val="nil"/>
            </w:tcBorders>
            <w:vAlign w:val="center"/>
          </w:tcPr>
          <w:p w14:paraId="325D053B" w14:textId="648E5608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0.23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59E7BD4" w14:textId="049F1EB2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636" w:type="dxa"/>
            <w:tcBorders>
              <w:left w:val="nil"/>
              <w:right w:val="nil"/>
            </w:tcBorders>
            <w:vAlign w:val="center"/>
          </w:tcPr>
          <w:p w14:paraId="1C01543A" w14:textId="22FCF83D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0.02</w:t>
            </w:r>
          </w:p>
        </w:tc>
      </w:tr>
      <w:tr w:rsidR="006742F8" w14:paraId="1D057177" w14:textId="77777777" w:rsidTr="00474399">
        <w:tc>
          <w:tcPr>
            <w:tcW w:w="91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A8045BF" w14:textId="278F63A9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Z</w:t>
            </w:r>
          </w:p>
        </w:tc>
        <w:tc>
          <w:tcPr>
            <w:tcW w:w="158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D2A9A1C" w14:textId="41516C50" w:rsidR="006742F8" w:rsidRDefault="006742F8" w:rsidP="006742F8">
            <w:pPr>
              <w:ind w:right="26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LC50 mortality</w:t>
            </w:r>
          </w:p>
        </w:tc>
        <w:tc>
          <w:tcPr>
            <w:tcW w:w="174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6006A62" w14:textId="0D6FCEB3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27500</w:t>
            </w:r>
          </w:p>
        </w:tc>
        <w:tc>
          <w:tcPr>
            <w:tcW w:w="150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FDFBB5" w14:textId="16128FE8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25</w:t>
            </w:r>
          </w:p>
        </w:tc>
        <w:tc>
          <w:tcPr>
            <w:tcW w:w="187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2AE1AE2" w14:textId="56F49228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175</w:t>
            </w:r>
          </w:p>
        </w:tc>
        <w:tc>
          <w:tcPr>
            <w:tcW w:w="163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C4A188E" w14:textId="6ECB9C39" w:rsidR="006742F8" w:rsidRDefault="006742F8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52</w:t>
            </w:r>
          </w:p>
        </w:tc>
      </w:tr>
    </w:tbl>
    <w:p w14:paraId="0948ECCA" w14:textId="72D2DBF0" w:rsidR="00D0072D" w:rsidRDefault="00D0072D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1E4C7BE7" w14:textId="77777777" w:rsidR="00A57515" w:rsidRDefault="00A57515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0EC6B138" w14:textId="47622957" w:rsidR="00D0072D" w:rsidRDefault="003A6B80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b/>
          <w:color w:val="333333"/>
          <w:sz w:val="20"/>
          <w:shd w:val="clear" w:color="auto" w:fill="FFFFFF"/>
          <w:lang w:val="en-US"/>
        </w:rPr>
        <w:t xml:space="preserve">Step </w:t>
      </w:r>
      <w:r w:rsidR="003C24CE" w:rsidRPr="003A6B80">
        <w:rPr>
          <w:rFonts w:ascii="Palatino-Roman" w:hAnsi="Palatino-Roman" w:cs="Arial"/>
          <w:b/>
          <w:color w:val="333333"/>
          <w:sz w:val="20"/>
          <w:shd w:val="clear" w:color="auto" w:fill="FFFFFF"/>
          <w:lang w:val="en-US"/>
        </w:rPr>
        <w:t>2)</w:t>
      </w:r>
      <w:r w:rsidR="003C24CE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</w:t>
      </w:r>
      <w:r w:rsidR="00E1277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The percent change from background </w:t>
      </w:r>
      <w:r w:rsidR="005777FB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condition </w:t>
      </w:r>
      <w:r w:rsidR="00E1277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is calculated for </w:t>
      </w:r>
      <w:r w:rsidR="00D7516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all effect endpoints for </w:t>
      </w:r>
      <w:r w:rsidR="00E1277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both water hardness and the Ca:Mg ratio</w:t>
      </w:r>
      <w:r w:rsidR="00AF2BF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,</w:t>
      </w:r>
      <w:r w:rsidR="00E1277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following Equation 2.2 of the article</w:t>
      </w:r>
      <w:r w:rsidR="00D7516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, where </w:t>
      </w:r>
      <w:r w:rsidR="00BF5E7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(</w:t>
      </w:r>
      <w:r w:rsidR="00D7516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using </w:t>
      </w:r>
      <w:r w:rsidR="005777FB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the above </w:t>
      </w:r>
      <w:r w:rsidR="00D7516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Ca:Mg ratio </w:t>
      </w:r>
      <w:r w:rsidR="003C24CE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data </w:t>
      </w:r>
      <w:r w:rsidR="005777FB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for species Z </w:t>
      </w:r>
      <w:r w:rsidR="00D7516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as an example</w:t>
      </w:r>
      <w:r w:rsidR="00BF5E7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)</w:t>
      </w:r>
      <w:r w:rsidR="00E1277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:</w:t>
      </w:r>
    </w:p>
    <w:p w14:paraId="1BD8B976" w14:textId="77777777" w:rsidR="00C272DD" w:rsidRDefault="00C272DD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24AE25D9" w14:textId="0294192F" w:rsidR="00D75164" w:rsidRDefault="00D75164" w:rsidP="00D75164">
      <w:pPr>
        <w:spacing w:after="0" w:line="240" w:lineRule="auto"/>
        <w:rPr>
          <w:rFonts w:ascii="Palatino-Roman" w:hAnsi="Palatino-Roman" w:cs="Arial"/>
          <w:color w:val="333333"/>
          <w:sz w:val="20"/>
          <w:shd w:val="clear" w:color="auto" w:fill="FFFFFF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</w:rPr>
        <w:tab/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ab/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ab/>
      </w:r>
      <w:r w:rsidR="00625495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  </w:t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 </w:t>
      </w:r>
      <w:r w:rsidR="00B34C9A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</w:t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(effect concentration </w:t>
      </w:r>
      <w:r w:rsidR="00093FD4">
        <w:rPr>
          <w:rFonts w:ascii="Palatino-Roman" w:hAnsi="Palatino-Roman" w:cs="Arial"/>
          <w:color w:val="333333"/>
          <w:sz w:val="20"/>
          <w:shd w:val="clear" w:color="auto" w:fill="FFFFFF"/>
        </w:rPr>
        <w:t>-</w:t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background concentration)</w:t>
      </w:r>
    </w:p>
    <w:p w14:paraId="47EEC4F5" w14:textId="6A99564F" w:rsidR="00D75164" w:rsidRDefault="00D75164" w:rsidP="00D75164">
      <w:pPr>
        <w:spacing w:after="0" w:line="240" w:lineRule="auto"/>
        <w:rPr>
          <w:rFonts w:ascii="Palatino-Roman" w:hAnsi="Palatino-Roman" w:cs="Arial"/>
          <w:color w:val="333333"/>
          <w:sz w:val="20"/>
          <w:shd w:val="clear" w:color="auto" w:fill="FFFFFF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Percent change </w:t>
      </w:r>
      <w:r w:rsidR="00625495">
        <w:rPr>
          <w:rFonts w:ascii="Palatino-Roman" w:hAnsi="Palatino-Roman" w:cs="Arial"/>
          <w:color w:val="333333"/>
          <w:sz w:val="20"/>
          <w:shd w:val="clear" w:color="auto" w:fill="FFFFFF"/>
        </w:rPr>
        <w:tab/>
      </w:r>
      <w:r w:rsidR="00625495">
        <w:rPr>
          <w:rFonts w:ascii="Palatino-Roman" w:hAnsi="Palatino-Roman" w:cs="Arial"/>
          <w:color w:val="333333"/>
          <w:sz w:val="20"/>
          <w:shd w:val="clear" w:color="auto" w:fill="FFFFFF"/>
        </w:rPr>
        <w:tab/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>=</w:t>
      </w:r>
      <w:r w:rsidR="00B34C9A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</w:t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_______________________________________________  X 100</w:t>
      </w:r>
      <w:r w:rsidR="00625495">
        <w:rPr>
          <w:rFonts w:ascii="Palatino-Roman" w:hAnsi="Palatino-Roman" w:cs="Arial"/>
          <w:color w:val="333333"/>
          <w:sz w:val="20"/>
          <w:shd w:val="clear" w:color="auto" w:fill="FFFFFF"/>
        </w:rPr>
        <w:tab/>
      </w:r>
      <w:r w:rsidR="00625495">
        <w:rPr>
          <w:rFonts w:ascii="Palatino-Roman" w:hAnsi="Palatino-Roman" w:cs="Arial"/>
          <w:color w:val="333333"/>
          <w:sz w:val="20"/>
          <w:shd w:val="clear" w:color="auto" w:fill="FFFFFF"/>
        </w:rPr>
        <w:tab/>
        <w:t>(2.2)</w:t>
      </w:r>
    </w:p>
    <w:p w14:paraId="2E06BDA7" w14:textId="1A16A5C9" w:rsidR="00D75164" w:rsidRPr="00E66A32" w:rsidRDefault="003570DA" w:rsidP="00D75164">
      <w:pPr>
        <w:spacing w:after="0" w:line="240" w:lineRule="auto"/>
        <w:rPr>
          <w:rFonts w:ascii="Palatino-Roman" w:hAnsi="Palatino-Roman" w:cs="Arial"/>
          <w:color w:val="333333"/>
          <w:sz w:val="20"/>
          <w:shd w:val="clear" w:color="auto" w:fill="FFFFFF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</w:t>
      </w:r>
      <w:r w:rsidR="00625495">
        <w:rPr>
          <w:rFonts w:ascii="Palatino-Roman" w:hAnsi="Palatino-Roman" w:cs="Arial"/>
          <w:color w:val="333333"/>
          <w:sz w:val="20"/>
          <w:shd w:val="clear" w:color="auto" w:fill="FFFFFF"/>
        </w:rPr>
        <w:t>from background (%)</w:t>
      </w:r>
      <w:r w:rsidR="00D75164">
        <w:rPr>
          <w:rFonts w:ascii="Palatino-Roman" w:hAnsi="Palatino-Roman" w:cs="Arial"/>
          <w:color w:val="333333"/>
          <w:sz w:val="20"/>
          <w:shd w:val="clear" w:color="auto" w:fill="FFFFFF"/>
        </w:rPr>
        <w:tab/>
      </w:r>
      <w:r w:rsidR="00D75164">
        <w:rPr>
          <w:rFonts w:ascii="Palatino-Roman" w:hAnsi="Palatino-Roman" w:cs="Arial"/>
          <w:color w:val="333333"/>
          <w:sz w:val="20"/>
          <w:shd w:val="clear" w:color="auto" w:fill="FFFFFF"/>
        </w:rPr>
        <w:tab/>
        <w:t xml:space="preserve">      </w:t>
      </w:r>
      <w:r w:rsidR="00AF2BFD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  </w:t>
      </w:r>
      <w:r w:rsidR="00D75164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  background concentration</w:t>
      </w:r>
    </w:p>
    <w:p w14:paraId="3CDE590D" w14:textId="77777777" w:rsidR="00D75164" w:rsidRDefault="00D75164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5491D756" w14:textId="19F4847D" w:rsidR="00D75164" w:rsidRDefault="00D75164" w:rsidP="008D7F20">
      <w:pPr>
        <w:spacing w:after="0"/>
        <w:ind w:left="2160"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= (25 </w:t>
      </w:r>
      <w:r w:rsidR="00093FD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-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52) / 52 </w:t>
      </w:r>
      <w:r w:rsidR="0009438F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X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100</w:t>
      </w:r>
    </w:p>
    <w:p w14:paraId="75CCE8DE" w14:textId="2BC90D76" w:rsidR="00D75164" w:rsidRDefault="00D75164" w:rsidP="008D7F20">
      <w:pPr>
        <w:spacing w:after="0"/>
        <w:ind w:left="2160"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= </w:t>
      </w:r>
      <w:r w:rsidR="00404CE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-51.9 </w:t>
      </w:r>
      <w:r w:rsidR="00BF5E7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%</w:t>
      </w:r>
    </w:p>
    <w:p w14:paraId="74CCEFB4" w14:textId="7514B211" w:rsidR="00D75164" w:rsidRDefault="00D75164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274C9FF7" w14:textId="49678EA0" w:rsidR="00BF5E73" w:rsidRDefault="00BF5E73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That i</w:t>
      </w:r>
      <w:r w:rsidR="005F4D69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s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, </w:t>
      </w:r>
      <w:r w:rsidR="005F4D69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without considering the contribution </w:t>
      </w:r>
      <w:r w:rsidR="0072122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of</w:t>
      </w:r>
      <w:r w:rsidR="005F4D69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water hardness</w:t>
      </w:r>
      <w:r w:rsidR="001D09E5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to the effect</w:t>
      </w:r>
      <w:r w:rsidR="005F4D69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, </w:t>
      </w:r>
      <w:r w:rsidR="0041554E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the </w:t>
      </w:r>
      <w:r w:rsidR="001D09E5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lethal</w:t>
      </w:r>
      <w:r w:rsidR="0041554E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effect in species Z was due to 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a 51.9% decrease in</w:t>
      </w:r>
      <w:r w:rsidR="005F48CF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the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Ca:Mg ratio.</w:t>
      </w:r>
    </w:p>
    <w:p w14:paraId="6F522174" w14:textId="773A0E2D" w:rsidR="00BF5E73" w:rsidRDefault="00BF5E73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093EDC92" w14:textId="77777777" w:rsidR="00A57515" w:rsidRDefault="00A57515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360022BF" w14:textId="3A4AFE66" w:rsidR="00D75164" w:rsidRDefault="003A6B80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b/>
          <w:color w:val="333333"/>
          <w:sz w:val="20"/>
          <w:shd w:val="clear" w:color="auto" w:fill="FFFFFF"/>
          <w:lang w:val="en-US"/>
        </w:rPr>
        <w:t xml:space="preserve">Step </w:t>
      </w:r>
      <w:r w:rsidR="00BE4764" w:rsidRPr="003A6B80">
        <w:rPr>
          <w:rFonts w:ascii="Palatino-Roman" w:hAnsi="Palatino-Roman" w:cs="Arial"/>
          <w:b/>
          <w:color w:val="333333"/>
          <w:sz w:val="20"/>
          <w:shd w:val="clear" w:color="auto" w:fill="FFFFFF"/>
          <w:lang w:val="en-US"/>
        </w:rPr>
        <w:t>3)</w:t>
      </w:r>
      <w:r w:rsidR="00BE476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After all of the remaining percent change from background calculations have been completed </w:t>
      </w:r>
      <w:r w:rsidR="00270660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for all endpoints </w:t>
      </w:r>
      <w:r w:rsidR="00BE476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(as below), </w:t>
      </w:r>
      <w:r w:rsidR="002D5DF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the smallest increase in </w:t>
      </w:r>
      <w:r w:rsidR="00BE476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water </w:t>
      </w:r>
      <w:r w:rsidR="002D5DF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hardness </w:t>
      </w:r>
      <w:r w:rsidR="002548C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as well as</w:t>
      </w:r>
      <w:r w:rsidR="002D5DF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the smallest increase and </w:t>
      </w:r>
      <w:r w:rsidR="002548C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the smallest </w:t>
      </w:r>
      <w:r w:rsidR="002D5DF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decrease in </w:t>
      </w:r>
      <w:r w:rsidR="002548C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the </w:t>
      </w:r>
      <w:r w:rsidR="002D5DF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Ca:Mg ratio </w:t>
      </w:r>
      <w:r w:rsidR="00BE476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causing an effect </w:t>
      </w:r>
      <w:r w:rsidR="002D5DF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are </w:t>
      </w:r>
      <w:r w:rsidR="009C51C7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identified </w:t>
      </w:r>
      <w:r w:rsidR="00BE476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(here </w:t>
      </w:r>
      <w:r w:rsidR="002D5DF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in bold face font</w:t>
      </w:r>
      <w:r w:rsidR="00BE476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)</w:t>
      </w:r>
      <w:r w:rsidR="002D5DF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: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1582"/>
        <w:gridCol w:w="2114"/>
        <w:gridCol w:w="1890"/>
      </w:tblGrid>
      <w:tr w:rsidR="00D570E7" w14:paraId="6C3EC3E0" w14:textId="242EBBC8" w:rsidTr="00CA5584"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6AF50" w14:textId="77777777" w:rsidR="00D570E7" w:rsidRDefault="00D570E7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Species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923DD" w14:textId="412DB596" w:rsidR="00D570E7" w:rsidRDefault="00D570E7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Effect endpoint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936DB" w14:textId="77777777" w:rsidR="00CA5584" w:rsidRDefault="00D570E7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 xml:space="preserve">Percent change from background: </w:t>
            </w:r>
          </w:p>
          <w:p w14:paraId="70D9BD44" w14:textId="2C8B8C11" w:rsidR="00D570E7" w:rsidRDefault="00D570E7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Water hardness (%)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E6A10D" w14:textId="497405D1" w:rsidR="00D570E7" w:rsidRDefault="00D570E7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Percent change from background: Ca:Mg ratio (%)</w:t>
            </w:r>
          </w:p>
        </w:tc>
      </w:tr>
      <w:tr w:rsidR="00404CEC" w14:paraId="0F2BF0B7" w14:textId="3DBD4ECF" w:rsidTr="00CA5584"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14:paraId="3EED510D" w14:textId="77777777" w:rsidR="00404CEC" w:rsidRDefault="00404CEC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X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14:paraId="6328E296" w14:textId="119C0706" w:rsidR="00404CEC" w:rsidRDefault="00404CEC" w:rsidP="00404CEC">
            <w:pPr>
              <w:ind w:right="26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IC10 reproduction</w:t>
            </w:r>
          </w:p>
        </w:tc>
        <w:tc>
          <w:tcPr>
            <w:tcW w:w="2114" w:type="dxa"/>
            <w:tcBorders>
              <w:top w:val="single" w:sz="12" w:space="0" w:color="auto"/>
            </w:tcBorders>
            <w:vAlign w:val="center"/>
          </w:tcPr>
          <w:p w14:paraId="2C81EB48" w14:textId="09228E2A" w:rsidR="00404CEC" w:rsidRPr="006B76C0" w:rsidRDefault="00404CEC" w:rsidP="00474399">
            <w:pPr>
              <w:ind w:righ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6B76C0">
              <w:rPr>
                <w:rFonts w:ascii="Times New Roman" w:hAnsi="Times New Roman" w:cs="Times New Roman"/>
                <w:sz w:val="20"/>
                <w:szCs w:val="20"/>
              </w:rPr>
              <w:t>2817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28521EF" w14:textId="0DB484B4" w:rsidR="00404CEC" w:rsidRPr="006B76C0" w:rsidRDefault="00404CEC" w:rsidP="00474399">
            <w:pPr>
              <w:ind w:righ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6B76C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404CEC" w14:paraId="2E8A13D9" w14:textId="68739348" w:rsidTr="00CA5584">
        <w:tc>
          <w:tcPr>
            <w:tcW w:w="912" w:type="dxa"/>
            <w:vAlign w:val="center"/>
          </w:tcPr>
          <w:p w14:paraId="23BE61DE" w14:textId="77777777" w:rsidR="00404CEC" w:rsidRDefault="00404CEC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X</w:t>
            </w:r>
          </w:p>
        </w:tc>
        <w:tc>
          <w:tcPr>
            <w:tcW w:w="1582" w:type="dxa"/>
            <w:vAlign w:val="center"/>
          </w:tcPr>
          <w:p w14:paraId="60CFDCB7" w14:textId="0ECBB137" w:rsidR="00404CEC" w:rsidRDefault="00F128FC" w:rsidP="00404CEC">
            <w:pPr>
              <w:ind w:right="26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I</w:t>
            </w:r>
            <w:r w:rsidR="00404CEC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 xml:space="preserve">C50 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growth</w:t>
            </w:r>
          </w:p>
        </w:tc>
        <w:tc>
          <w:tcPr>
            <w:tcW w:w="2114" w:type="dxa"/>
            <w:vAlign w:val="center"/>
          </w:tcPr>
          <w:p w14:paraId="4BD1111B" w14:textId="61539DA5" w:rsidR="00404CEC" w:rsidRPr="006B76C0" w:rsidRDefault="00404CEC" w:rsidP="00474399">
            <w:pPr>
              <w:ind w:righ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6B76C0">
              <w:rPr>
                <w:rFonts w:ascii="Times New Roman" w:hAnsi="Times New Roman" w:cs="Times New Roman"/>
                <w:sz w:val="20"/>
                <w:szCs w:val="20"/>
              </w:rPr>
              <w:t>11011</w:t>
            </w:r>
          </w:p>
        </w:tc>
        <w:tc>
          <w:tcPr>
            <w:tcW w:w="1890" w:type="dxa"/>
            <w:vAlign w:val="center"/>
          </w:tcPr>
          <w:p w14:paraId="34E6199B" w14:textId="5FD39BE1" w:rsidR="00404CEC" w:rsidRPr="006B76C0" w:rsidRDefault="00404CEC" w:rsidP="00474399">
            <w:pPr>
              <w:ind w:righ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6B76C0">
              <w:rPr>
                <w:rFonts w:ascii="Times New Roman" w:hAnsi="Times New Roman" w:cs="Times New Roman"/>
                <w:sz w:val="20"/>
                <w:szCs w:val="20"/>
              </w:rPr>
              <w:t>-99.8</w:t>
            </w:r>
          </w:p>
        </w:tc>
      </w:tr>
      <w:tr w:rsidR="00404CEC" w14:paraId="4E5BDF21" w14:textId="7A713116" w:rsidTr="00CA5584">
        <w:tc>
          <w:tcPr>
            <w:tcW w:w="912" w:type="dxa"/>
            <w:vAlign w:val="center"/>
          </w:tcPr>
          <w:p w14:paraId="022839E9" w14:textId="77777777" w:rsidR="00404CEC" w:rsidRDefault="00404CEC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Y</w:t>
            </w:r>
          </w:p>
        </w:tc>
        <w:tc>
          <w:tcPr>
            <w:tcW w:w="1582" w:type="dxa"/>
            <w:vAlign w:val="center"/>
          </w:tcPr>
          <w:p w14:paraId="14EE49B7" w14:textId="32030C7F" w:rsidR="00404CEC" w:rsidRDefault="00404CEC" w:rsidP="00404CEC">
            <w:pPr>
              <w:ind w:right="26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IC20 growth</w:t>
            </w:r>
          </w:p>
        </w:tc>
        <w:tc>
          <w:tcPr>
            <w:tcW w:w="2114" w:type="dxa"/>
            <w:vAlign w:val="center"/>
          </w:tcPr>
          <w:p w14:paraId="79084C16" w14:textId="540FF7E1" w:rsidR="00404CEC" w:rsidRPr="006B76C0" w:rsidRDefault="00404CEC" w:rsidP="00474399">
            <w:pPr>
              <w:ind w:righ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6B76C0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890" w:type="dxa"/>
            <w:vAlign w:val="center"/>
          </w:tcPr>
          <w:p w14:paraId="63751AC4" w14:textId="03A55739" w:rsidR="00404CEC" w:rsidRPr="002D5DFC" w:rsidRDefault="00404CEC" w:rsidP="00474399">
            <w:pPr>
              <w:ind w:right="26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D5DFC">
              <w:rPr>
                <w:rFonts w:ascii="Times New Roman" w:hAnsi="Times New Roman" w:cs="Times New Roman"/>
                <w:b/>
                <w:sz w:val="20"/>
                <w:szCs w:val="20"/>
              </w:rPr>
              <w:t>73.1</w:t>
            </w:r>
          </w:p>
        </w:tc>
      </w:tr>
      <w:tr w:rsidR="00404CEC" w14:paraId="479BD246" w14:textId="1E90C21F" w:rsidTr="00CA5584">
        <w:tc>
          <w:tcPr>
            <w:tcW w:w="912" w:type="dxa"/>
            <w:vAlign w:val="center"/>
          </w:tcPr>
          <w:p w14:paraId="358BC7A3" w14:textId="77777777" w:rsidR="00404CEC" w:rsidRDefault="00404CEC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Y</w:t>
            </w:r>
          </w:p>
        </w:tc>
        <w:tc>
          <w:tcPr>
            <w:tcW w:w="1582" w:type="dxa"/>
            <w:vAlign w:val="center"/>
          </w:tcPr>
          <w:p w14:paraId="416C04E1" w14:textId="3A033788" w:rsidR="00404CEC" w:rsidRDefault="00404CEC" w:rsidP="00404CEC">
            <w:pPr>
              <w:ind w:right="26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IC20 reproduction</w:t>
            </w:r>
          </w:p>
        </w:tc>
        <w:tc>
          <w:tcPr>
            <w:tcW w:w="2114" w:type="dxa"/>
            <w:vAlign w:val="center"/>
          </w:tcPr>
          <w:p w14:paraId="3210BFD3" w14:textId="790FC912" w:rsidR="00404CEC" w:rsidRPr="002D5DFC" w:rsidRDefault="00404CEC" w:rsidP="00474399">
            <w:pPr>
              <w:ind w:right="26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D5DFC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890" w:type="dxa"/>
            <w:vAlign w:val="center"/>
          </w:tcPr>
          <w:p w14:paraId="3273EED6" w14:textId="6DA1AD8C" w:rsidR="00404CEC" w:rsidRPr="006B76C0" w:rsidRDefault="00404CEC" w:rsidP="00474399">
            <w:pPr>
              <w:ind w:righ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6B76C0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 w:rsidR="00404CEC" w14:paraId="1B5AB82E" w14:textId="249E5DD6" w:rsidTr="00CA5584">
        <w:tc>
          <w:tcPr>
            <w:tcW w:w="912" w:type="dxa"/>
            <w:vAlign w:val="center"/>
          </w:tcPr>
          <w:p w14:paraId="3FDEB25A" w14:textId="77777777" w:rsidR="00404CEC" w:rsidRDefault="00404CEC" w:rsidP="00474399">
            <w:pPr>
              <w:ind w:right="26"/>
              <w:jc w:val="center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Z</w:t>
            </w:r>
          </w:p>
        </w:tc>
        <w:tc>
          <w:tcPr>
            <w:tcW w:w="1582" w:type="dxa"/>
            <w:vAlign w:val="center"/>
          </w:tcPr>
          <w:p w14:paraId="7E9E81B1" w14:textId="6001FA73" w:rsidR="00404CEC" w:rsidRDefault="006742F8" w:rsidP="00404CEC">
            <w:pPr>
              <w:ind w:right="26"/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L</w:t>
            </w:r>
            <w:r w:rsidR="00404CEC"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 xml:space="preserve">C50 </w:t>
            </w:r>
            <w:r>
              <w:rPr>
                <w:rFonts w:ascii="Palatino-Roman" w:hAnsi="Palatino-Roman" w:cs="Arial"/>
                <w:color w:val="333333"/>
                <w:sz w:val="20"/>
                <w:shd w:val="clear" w:color="auto" w:fill="FFFFFF"/>
                <w:lang w:val="en-US"/>
              </w:rPr>
              <w:t>mortality</w:t>
            </w:r>
          </w:p>
        </w:tc>
        <w:tc>
          <w:tcPr>
            <w:tcW w:w="2114" w:type="dxa"/>
            <w:vAlign w:val="center"/>
          </w:tcPr>
          <w:p w14:paraId="3AE26C1F" w14:textId="6E8BD75B" w:rsidR="00404CEC" w:rsidRPr="006B76C0" w:rsidRDefault="00404CEC" w:rsidP="00474399">
            <w:pPr>
              <w:ind w:righ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6B76C0">
              <w:rPr>
                <w:rFonts w:ascii="Times New Roman" w:hAnsi="Times New Roman" w:cs="Times New Roman"/>
                <w:sz w:val="20"/>
                <w:szCs w:val="20"/>
              </w:rPr>
              <w:t>15614</w:t>
            </w:r>
          </w:p>
        </w:tc>
        <w:tc>
          <w:tcPr>
            <w:tcW w:w="1890" w:type="dxa"/>
            <w:vAlign w:val="center"/>
          </w:tcPr>
          <w:p w14:paraId="6A82A944" w14:textId="05D1B5DF" w:rsidR="00404CEC" w:rsidRPr="002D5DFC" w:rsidRDefault="00404CEC" w:rsidP="00474399">
            <w:pPr>
              <w:ind w:right="26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D5DFC">
              <w:rPr>
                <w:rFonts w:ascii="Times New Roman" w:hAnsi="Times New Roman" w:cs="Times New Roman"/>
                <w:b/>
                <w:sz w:val="20"/>
                <w:szCs w:val="20"/>
              </w:rPr>
              <w:t>-51.9</w:t>
            </w:r>
          </w:p>
        </w:tc>
      </w:tr>
    </w:tbl>
    <w:p w14:paraId="5338D115" w14:textId="2523DF0F" w:rsidR="00A52D3C" w:rsidRDefault="00270660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These values </w:t>
      </w:r>
      <w:r w:rsidR="00A57515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in bold </w:t>
      </w:r>
      <w:r w:rsidR="00C45DAF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represent the threshold for effects</w:t>
      </w:r>
      <w:r w:rsidR="00175CC7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and </w:t>
      </w:r>
      <w:r w:rsidR="002428F5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they </w:t>
      </w:r>
      <w:r w:rsidR="00175CC7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are used to indicate the maximum percent change permitted (i.e., percent change WQG).</w:t>
      </w:r>
    </w:p>
    <w:p w14:paraId="3E52C67F" w14:textId="77777777" w:rsidR="00270660" w:rsidRDefault="00270660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081C0FFF" w14:textId="2A10170E" w:rsidR="00A52D3C" w:rsidRDefault="003A6B80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b/>
          <w:color w:val="333333"/>
          <w:sz w:val="20"/>
          <w:shd w:val="clear" w:color="auto" w:fill="FFFFFF"/>
          <w:lang w:val="en-US"/>
        </w:rPr>
        <w:t xml:space="preserve">Step </w:t>
      </w:r>
      <w:r w:rsidR="003A2BD8" w:rsidRPr="003A6B80">
        <w:rPr>
          <w:rFonts w:ascii="Palatino-Roman" w:hAnsi="Palatino-Roman" w:cs="Arial"/>
          <w:b/>
          <w:color w:val="333333"/>
          <w:sz w:val="20"/>
          <w:shd w:val="clear" w:color="auto" w:fill="FFFFFF"/>
          <w:lang w:val="en-US"/>
        </w:rPr>
        <w:t>4</w:t>
      </w:r>
      <w:r w:rsidR="002D5DFC" w:rsidRPr="003A6B80">
        <w:rPr>
          <w:rFonts w:ascii="Palatino-Roman" w:hAnsi="Palatino-Roman" w:cs="Arial"/>
          <w:b/>
          <w:color w:val="333333"/>
          <w:sz w:val="20"/>
          <w:shd w:val="clear" w:color="auto" w:fill="FFFFFF"/>
          <w:lang w:val="en-US"/>
        </w:rPr>
        <w:t>)</w:t>
      </w:r>
      <w:r w:rsidR="002D5DF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The</w:t>
      </w:r>
      <w:r w:rsidR="00175CC7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percent change WQG are </w:t>
      </w:r>
      <w:r w:rsidR="00911108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then </w:t>
      </w:r>
      <w:r w:rsidR="00175CC7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applied to </w:t>
      </w:r>
      <w:r w:rsidR="00C05F2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site-specific background water hardness and Ca:Mg ratio measurements</w:t>
      </w:r>
      <w:r w:rsidR="00911108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to calculate local WQG values</w:t>
      </w:r>
      <w:r w:rsidR="003E640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,</w:t>
      </w:r>
      <w:r w:rsidR="00C05F2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using Equations 2.3 and 2.4 in the main text</w:t>
      </w:r>
      <w:r w:rsidR="00911108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</w:t>
      </w:r>
      <w:r w:rsidR="003E640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as</w:t>
      </w:r>
      <w:r w:rsidR="00C05F2D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:</w:t>
      </w:r>
    </w:p>
    <w:p w14:paraId="08240C1D" w14:textId="69F15A26" w:rsidR="003E640D" w:rsidRDefault="003E640D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3683E875" w14:textId="2C559F07" w:rsidR="003E640D" w:rsidRDefault="003E640D" w:rsidP="003E640D">
      <w:pPr>
        <w:rPr>
          <w:rFonts w:ascii="Palatino-Roman" w:hAnsi="Palatino-Roman" w:cs="Arial"/>
          <w:color w:val="333333"/>
          <w:sz w:val="20"/>
          <w:shd w:val="clear" w:color="auto" w:fill="FFFFFF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Maximum INCREASE   =  (Percent change </w:t>
      </w:r>
      <w:r w:rsidRPr="008A136C">
        <w:rPr>
          <w:rFonts w:ascii="Palatino-Roman" w:hAnsi="Palatino-Roman" w:cs="Arial"/>
          <w:color w:val="333333"/>
          <w:sz w:val="20"/>
          <w:shd w:val="clear" w:color="auto" w:fill="FFFFFF"/>
        </w:rPr>
        <w:t>WQG</w:t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 /  100  X  Hss or Rss)  +  Hss or Rss</w:t>
      </w:r>
      <w:r w:rsidR="00625495">
        <w:rPr>
          <w:rFonts w:ascii="Palatino-Roman" w:hAnsi="Palatino-Roman" w:cs="Arial"/>
          <w:color w:val="333333"/>
          <w:sz w:val="20"/>
          <w:shd w:val="clear" w:color="auto" w:fill="FFFFFF"/>
        </w:rPr>
        <w:tab/>
      </w:r>
      <w:r w:rsidR="00625495">
        <w:rPr>
          <w:rFonts w:ascii="Palatino-Roman" w:hAnsi="Palatino-Roman" w:cs="Arial"/>
          <w:color w:val="333333"/>
          <w:sz w:val="20"/>
          <w:shd w:val="clear" w:color="auto" w:fill="FFFFFF"/>
        </w:rPr>
        <w:tab/>
        <w:t>(2.3)</w:t>
      </w:r>
    </w:p>
    <w:p w14:paraId="3EE7CAE2" w14:textId="7E2BA65F" w:rsidR="003E640D" w:rsidRDefault="003E640D" w:rsidP="003E640D">
      <w:pPr>
        <w:rPr>
          <w:rFonts w:ascii="Palatino-Roman" w:hAnsi="Palatino-Roman" w:cs="Arial"/>
          <w:color w:val="333333"/>
          <w:sz w:val="20"/>
          <w:shd w:val="clear" w:color="auto" w:fill="FFFFFF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</w:rPr>
        <w:t>Maximum DECREASE  =  Rss  -  (</w:t>
      </w:r>
      <w:r w:rsidR="00E73650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 | </w:t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Percent change </w:t>
      </w:r>
      <w:r w:rsidRPr="008A136C">
        <w:rPr>
          <w:rFonts w:ascii="Palatino-Roman" w:hAnsi="Palatino-Roman" w:cs="Arial"/>
          <w:color w:val="333333"/>
          <w:sz w:val="20"/>
          <w:shd w:val="clear" w:color="auto" w:fill="FFFFFF"/>
        </w:rPr>
        <w:t>WQG</w:t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</w:t>
      </w:r>
      <w:r w:rsidR="00E73650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| </w:t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/  100  X  Rss)</w:t>
      </w:r>
      <w:r w:rsidR="00625495">
        <w:rPr>
          <w:rFonts w:ascii="Palatino-Roman" w:hAnsi="Palatino-Roman" w:cs="Arial"/>
          <w:color w:val="333333"/>
          <w:sz w:val="20"/>
          <w:shd w:val="clear" w:color="auto" w:fill="FFFFFF"/>
        </w:rPr>
        <w:tab/>
      </w:r>
      <w:r w:rsidR="00E73650">
        <w:rPr>
          <w:rFonts w:ascii="Palatino-Roman" w:hAnsi="Palatino-Roman" w:cs="Arial"/>
          <w:color w:val="333333"/>
          <w:sz w:val="20"/>
          <w:shd w:val="clear" w:color="auto" w:fill="FFFFFF"/>
        </w:rPr>
        <w:tab/>
      </w:r>
      <w:r w:rsidR="00625495">
        <w:rPr>
          <w:rFonts w:ascii="Palatino-Roman" w:hAnsi="Palatino-Roman" w:cs="Arial"/>
          <w:color w:val="333333"/>
          <w:sz w:val="20"/>
          <w:shd w:val="clear" w:color="auto" w:fill="FFFFFF"/>
        </w:rPr>
        <w:tab/>
        <w:t>(2.4)</w:t>
      </w:r>
    </w:p>
    <w:p w14:paraId="6B1C44AF" w14:textId="247E83B5" w:rsidR="003E640D" w:rsidRDefault="003E640D" w:rsidP="003E640D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</w:rPr>
        <w:t>where Hss is the mean site-specific water hardness in mg/L as CaCO</w:t>
      </w:r>
      <w:r w:rsidRPr="005E5A89">
        <w:rPr>
          <w:rFonts w:ascii="Palatino-Roman" w:hAnsi="Palatino-Roman" w:cs="Arial"/>
          <w:color w:val="333333"/>
          <w:sz w:val="20"/>
          <w:shd w:val="clear" w:color="auto" w:fill="FFFFFF"/>
          <w:vertAlign w:val="subscript"/>
        </w:rPr>
        <w:t>3</w:t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>, and Rss is the mean site-specific Ca:Mg ratio (mass based</w:t>
      </w:r>
      <w:r w:rsidRPr="00720A1A">
        <w:rPr>
          <w:rFonts w:ascii="Palatino-Roman" w:hAnsi="Palatino-Roman" w:cs="Arial"/>
          <w:color w:val="333333"/>
          <w:sz w:val="20"/>
          <w:shd w:val="clear" w:color="auto" w:fill="FFFFFF"/>
        </w:rPr>
        <w:t>).</w:t>
      </w:r>
    </w:p>
    <w:p w14:paraId="47381D0B" w14:textId="4EBF01CB" w:rsidR="00175CC7" w:rsidRDefault="00175CC7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19B227C4" w14:textId="268075B0" w:rsidR="00BD6BD3" w:rsidRDefault="00E4201B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For example, i</w:t>
      </w:r>
      <w:r w:rsidR="00175CC7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f the background conditions at </w:t>
      </w:r>
      <w:r w:rsidR="009D5489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the exemplar</w:t>
      </w:r>
      <w:r w:rsidR="00175CC7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field site </w:t>
      </w:r>
      <w:r w:rsidR="00BD6BD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of management interest </w:t>
      </w:r>
      <w:r w:rsidR="00175CC7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are a mean water hardness </w:t>
      </w:r>
      <w:r w:rsidR="009D381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(Hss) </w:t>
      </w:r>
      <w:r w:rsidR="00175CC7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of 125 mg/L as CaCO</w:t>
      </w:r>
      <w:r w:rsidR="00175CC7" w:rsidRPr="00175CC7">
        <w:rPr>
          <w:rFonts w:ascii="Palatino-Roman" w:hAnsi="Palatino-Roman" w:cs="Arial"/>
          <w:color w:val="333333"/>
          <w:sz w:val="20"/>
          <w:shd w:val="clear" w:color="auto" w:fill="FFFFFF"/>
          <w:vertAlign w:val="subscript"/>
          <w:lang w:val="en-US"/>
        </w:rPr>
        <w:t>3</w:t>
      </w:r>
      <w:r w:rsidR="00175CC7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</w:t>
      </w:r>
      <w:r w:rsidR="00BD6BD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and</w:t>
      </w:r>
      <w:r w:rsidR="00175CC7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a Ca:Mg ratio </w:t>
      </w:r>
      <w:r w:rsidR="009D381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(Rss) </w:t>
      </w:r>
      <w:r w:rsidR="00175CC7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of </w:t>
      </w:r>
      <w:r w:rsidR="00252C0F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4.1, then</w:t>
      </w:r>
      <w:r w:rsidR="00BD6BD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the local WQG values </w:t>
      </w:r>
      <w:r w:rsidR="009D5489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are the following</w:t>
      </w:r>
      <w:r w:rsidR="00BD6BD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:</w:t>
      </w:r>
    </w:p>
    <w:p w14:paraId="04B5CEAA" w14:textId="23ED4169" w:rsidR="00BD6BD3" w:rsidRDefault="00F04E1F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noProof/>
          <w:color w:val="333333"/>
          <w:sz w:val="20"/>
          <w:lang w:val="en-US"/>
        </w:rPr>
        <w:pict w14:anchorId="5FF31CBA">
          <v:rect id="_x0000_s1026" style="position:absolute;margin-left:.7pt;margin-top:8.8pt;width:315.55pt;height:165.85pt;z-index:251658240" filled="f"/>
        </w:pict>
      </w:r>
    </w:p>
    <w:p w14:paraId="4314C7FE" w14:textId="2B9878EF" w:rsidR="00BD6BD3" w:rsidRPr="009D3811" w:rsidRDefault="00FB5DBB" w:rsidP="00B939DE">
      <w:pPr>
        <w:spacing w:after="0"/>
        <w:ind w:right="26"/>
        <w:rPr>
          <w:rFonts w:ascii="Palatino-Roman" w:hAnsi="Palatino-Roman" w:cs="Arial"/>
          <w:b/>
          <w:i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b/>
          <w:i/>
          <w:color w:val="333333"/>
          <w:sz w:val="20"/>
          <w:shd w:val="clear" w:color="auto" w:fill="FFFFFF"/>
          <w:lang w:val="en-US"/>
        </w:rPr>
        <w:t xml:space="preserve">    </w:t>
      </w:r>
      <w:r w:rsidR="00060AE2">
        <w:rPr>
          <w:rFonts w:ascii="Palatino-Roman" w:hAnsi="Palatino-Roman" w:cs="Arial"/>
          <w:b/>
          <w:i/>
          <w:color w:val="333333"/>
          <w:sz w:val="20"/>
          <w:shd w:val="clear" w:color="auto" w:fill="FFFFFF"/>
          <w:lang w:val="en-US"/>
        </w:rPr>
        <w:t xml:space="preserve">Site-specific WQG </w:t>
      </w:r>
      <w:r w:rsidR="00BD6BD3" w:rsidRPr="009D3811">
        <w:rPr>
          <w:rFonts w:ascii="Palatino-Roman" w:hAnsi="Palatino-Roman" w:cs="Arial"/>
          <w:b/>
          <w:i/>
          <w:color w:val="333333"/>
          <w:sz w:val="20"/>
          <w:shd w:val="clear" w:color="auto" w:fill="FFFFFF"/>
          <w:lang w:val="en-US"/>
        </w:rPr>
        <w:t xml:space="preserve">for </w:t>
      </w:r>
      <w:r w:rsidR="00BD2DE6">
        <w:rPr>
          <w:rFonts w:ascii="Palatino-Roman" w:hAnsi="Palatino-Roman" w:cs="Arial"/>
          <w:b/>
          <w:i/>
          <w:color w:val="333333"/>
          <w:sz w:val="20"/>
          <w:shd w:val="clear" w:color="auto" w:fill="FFFFFF"/>
          <w:lang w:val="en-US"/>
        </w:rPr>
        <w:t>WATER HARDNESS:</w:t>
      </w:r>
    </w:p>
    <w:p w14:paraId="02235E45" w14:textId="57620A2B" w:rsidR="00BD6BD3" w:rsidRDefault="00BD2DE6" w:rsidP="00BD6BD3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 </w:t>
      </w:r>
      <w:r w:rsidR="00FB5DBB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          </w:t>
      </w:r>
      <w:r w:rsidR="00BD6BD3">
        <w:rPr>
          <w:rFonts w:ascii="Palatino-Roman" w:hAnsi="Palatino-Roman" w:cs="Arial"/>
          <w:color w:val="333333"/>
          <w:sz w:val="20"/>
          <w:shd w:val="clear" w:color="auto" w:fill="FFFFFF"/>
        </w:rPr>
        <w:t>Maximum INCREASE</w:t>
      </w:r>
      <w:r w:rsidR="00891C16">
        <w:rPr>
          <w:rFonts w:ascii="Palatino-Roman" w:hAnsi="Palatino-Roman" w:cs="Arial"/>
          <w:color w:val="333333"/>
          <w:sz w:val="20"/>
          <w:shd w:val="clear" w:color="auto" w:fill="FFFFFF"/>
        </w:rPr>
        <w:tab/>
      </w:r>
      <w:r w:rsidR="00BD6BD3">
        <w:rPr>
          <w:rFonts w:ascii="Palatino-Roman" w:hAnsi="Palatino-Roman" w:cs="Arial"/>
          <w:color w:val="333333"/>
          <w:sz w:val="20"/>
          <w:shd w:val="clear" w:color="auto" w:fill="FFFFFF"/>
        </w:rPr>
        <w:t>= (</w:t>
      </w:r>
      <w:r w:rsidR="009D3811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400 / 100 X 125) + 125</w:t>
      </w:r>
    </w:p>
    <w:p w14:paraId="588CA14A" w14:textId="7EB96292" w:rsidR="00891C16" w:rsidRPr="00891C16" w:rsidRDefault="00891C16" w:rsidP="00BD6BD3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ab/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ab/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ab/>
      </w:r>
      <w:r w:rsidR="00FB5DBB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      </w:t>
      </w:r>
      <w:r w:rsidR="00FB5DBB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ab/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= 625 mg/L as CaCO</w:t>
      </w:r>
      <w:r w:rsidRPr="00891C16">
        <w:rPr>
          <w:rFonts w:ascii="Palatino-Roman" w:hAnsi="Palatino-Roman" w:cs="Arial"/>
          <w:color w:val="333333"/>
          <w:sz w:val="20"/>
          <w:shd w:val="clear" w:color="auto" w:fill="FFFFFF"/>
          <w:vertAlign w:val="subscript"/>
          <w:lang w:val="en-US"/>
        </w:rPr>
        <w:t>3</w:t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water hardness</w:t>
      </w:r>
    </w:p>
    <w:p w14:paraId="4949C021" w14:textId="77777777" w:rsidR="00BD6BD3" w:rsidRDefault="00BD6BD3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042BB32E" w14:textId="10B8EC86" w:rsidR="00AD7FB6" w:rsidRPr="00891C16" w:rsidRDefault="00FB5DBB" w:rsidP="00B939DE">
      <w:pPr>
        <w:spacing w:after="0"/>
        <w:ind w:right="26"/>
        <w:rPr>
          <w:rFonts w:ascii="Palatino-Roman" w:hAnsi="Palatino-Roman" w:cs="Arial"/>
          <w:b/>
          <w:i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b/>
          <w:i/>
          <w:color w:val="333333"/>
          <w:sz w:val="20"/>
          <w:shd w:val="clear" w:color="auto" w:fill="FFFFFF"/>
          <w:lang w:val="en-US"/>
        </w:rPr>
        <w:t xml:space="preserve">    </w:t>
      </w:r>
      <w:r w:rsidR="00060AE2">
        <w:rPr>
          <w:rFonts w:ascii="Palatino-Roman" w:hAnsi="Palatino-Roman" w:cs="Arial"/>
          <w:b/>
          <w:i/>
          <w:color w:val="333333"/>
          <w:sz w:val="20"/>
          <w:shd w:val="clear" w:color="auto" w:fill="FFFFFF"/>
          <w:lang w:val="en-US"/>
        </w:rPr>
        <w:t>Site-specific WQG</w:t>
      </w:r>
      <w:r w:rsidR="00891C16" w:rsidRPr="00891C16">
        <w:rPr>
          <w:rFonts w:ascii="Palatino-Roman" w:hAnsi="Palatino-Roman" w:cs="Arial"/>
          <w:b/>
          <w:i/>
          <w:color w:val="333333"/>
          <w:sz w:val="20"/>
          <w:shd w:val="clear" w:color="auto" w:fill="FFFFFF"/>
          <w:lang w:val="en-US"/>
        </w:rPr>
        <w:t xml:space="preserve"> </w:t>
      </w:r>
      <w:r w:rsidR="006E55AD">
        <w:rPr>
          <w:rFonts w:ascii="Palatino-Roman" w:hAnsi="Palatino-Roman" w:cs="Arial"/>
          <w:b/>
          <w:i/>
          <w:color w:val="333333"/>
          <w:sz w:val="20"/>
          <w:shd w:val="clear" w:color="auto" w:fill="FFFFFF"/>
          <w:lang w:val="en-US"/>
        </w:rPr>
        <w:t xml:space="preserve">for </w:t>
      </w:r>
      <w:r w:rsidR="00891C16" w:rsidRPr="00891C16">
        <w:rPr>
          <w:rFonts w:ascii="Palatino-Roman" w:hAnsi="Palatino-Roman" w:cs="Arial"/>
          <w:b/>
          <w:i/>
          <w:color w:val="333333"/>
          <w:sz w:val="20"/>
          <w:shd w:val="clear" w:color="auto" w:fill="FFFFFF"/>
          <w:lang w:val="en-US"/>
        </w:rPr>
        <w:t xml:space="preserve">Ca:Mg </w:t>
      </w:r>
      <w:r w:rsidR="00BD2DE6">
        <w:rPr>
          <w:rFonts w:ascii="Palatino-Roman" w:hAnsi="Palatino-Roman" w:cs="Arial"/>
          <w:b/>
          <w:i/>
          <w:color w:val="333333"/>
          <w:sz w:val="20"/>
          <w:shd w:val="clear" w:color="auto" w:fill="FFFFFF"/>
          <w:lang w:val="en-US"/>
        </w:rPr>
        <w:t>RATIO:</w:t>
      </w:r>
    </w:p>
    <w:p w14:paraId="1DBA7465" w14:textId="52D2E71D" w:rsidR="00891C16" w:rsidRDefault="00BD2DE6" w:rsidP="00891C16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</w:t>
      </w:r>
      <w:r w:rsidR="00FB5DBB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   </w:t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</w:t>
      </w:r>
      <w:r w:rsidR="00FB5DBB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     </w:t>
      </w:r>
      <w:r w:rsidR="00891C16">
        <w:rPr>
          <w:rFonts w:ascii="Palatino-Roman" w:hAnsi="Palatino-Roman" w:cs="Arial"/>
          <w:color w:val="333333"/>
          <w:sz w:val="20"/>
          <w:shd w:val="clear" w:color="auto" w:fill="FFFFFF"/>
        </w:rPr>
        <w:t>Maximum INCREASE</w:t>
      </w:r>
      <w:r w:rsidR="00891C16">
        <w:rPr>
          <w:rFonts w:ascii="Palatino-Roman" w:hAnsi="Palatino-Roman" w:cs="Arial"/>
          <w:color w:val="333333"/>
          <w:sz w:val="20"/>
          <w:shd w:val="clear" w:color="auto" w:fill="FFFFFF"/>
        </w:rPr>
        <w:tab/>
        <w:t>= (</w:t>
      </w:r>
      <w:r w:rsidR="00093FD4">
        <w:rPr>
          <w:rFonts w:ascii="Palatino-Roman" w:hAnsi="Palatino-Roman" w:cs="Arial"/>
          <w:color w:val="333333"/>
          <w:sz w:val="20"/>
          <w:shd w:val="clear" w:color="auto" w:fill="FFFFFF"/>
        </w:rPr>
        <w:t>73.1</w:t>
      </w:r>
      <w:r w:rsidR="00891C1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/ 100 X </w:t>
      </w:r>
      <w:r w:rsidR="00093FD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4.1</w:t>
      </w:r>
      <w:r w:rsidR="00891C1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) + </w:t>
      </w:r>
      <w:r w:rsidR="00093FD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4.1</w:t>
      </w:r>
    </w:p>
    <w:p w14:paraId="1510070F" w14:textId="6D2FC336" w:rsidR="00891C16" w:rsidRDefault="00891C16" w:rsidP="00891C16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ab/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ab/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ab/>
      </w:r>
      <w:r w:rsidR="00FB5DBB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ab/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= </w:t>
      </w:r>
      <w:r w:rsidR="0052481F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Ca:Mg of </w:t>
      </w:r>
      <w:r w:rsidR="00FF2D5C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7.1</w:t>
      </w:r>
    </w:p>
    <w:p w14:paraId="22EB7F0D" w14:textId="77777777" w:rsidR="00891C16" w:rsidRDefault="00891C16" w:rsidP="00891C16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3F75DCD4" w14:textId="5C69D145" w:rsidR="00891C16" w:rsidRDefault="00FB5DBB" w:rsidP="00891C16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   </w:t>
      </w:r>
      <w:r w:rsidR="00BD2DE6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 </w:t>
      </w:r>
      <w:r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    </w:t>
      </w:r>
      <w:r w:rsidR="00891C16">
        <w:rPr>
          <w:rFonts w:ascii="Palatino-Roman" w:hAnsi="Palatino-Roman" w:cs="Arial"/>
          <w:color w:val="333333"/>
          <w:sz w:val="20"/>
          <w:shd w:val="clear" w:color="auto" w:fill="FFFFFF"/>
        </w:rPr>
        <w:t>Maximum DECREASE</w:t>
      </w:r>
      <w:r w:rsidR="00891C16">
        <w:rPr>
          <w:rFonts w:ascii="Palatino-Roman" w:hAnsi="Palatino-Roman" w:cs="Arial"/>
          <w:color w:val="333333"/>
          <w:sz w:val="20"/>
          <w:shd w:val="clear" w:color="auto" w:fill="FFFFFF"/>
        </w:rPr>
        <w:tab/>
        <w:t xml:space="preserve">= </w:t>
      </w:r>
      <w:r w:rsidR="00093FD4">
        <w:rPr>
          <w:rFonts w:ascii="Palatino-Roman" w:hAnsi="Palatino-Roman" w:cs="Arial"/>
          <w:color w:val="333333"/>
          <w:sz w:val="20"/>
          <w:shd w:val="clear" w:color="auto" w:fill="FFFFFF"/>
        </w:rPr>
        <w:t>4.</w:t>
      </w:r>
      <w:r w:rsidR="00093FD4" w:rsidRPr="00DC3F6B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1 - </w:t>
      </w:r>
      <w:r w:rsidR="00891C16" w:rsidRPr="00DC3F6B">
        <w:rPr>
          <w:rFonts w:ascii="Palatino-Roman" w:hAnsi="Palatino-Roman" w:cs="Arial"/>
          <w:color w:val="333333"/>
          <w:sz w:val="20"/>
          <w:shd w:val="clear" w:color="auto" w:fill="FFFFFF"/>
        </w:rPr>
        <w:t>(</w:t>
      </w:r>
      <w:r w:rsidR="00B85DD3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</w:t>
      </w:r>
      <w:r w:rsidR="00A80627" w:rsidRPr="00DC3F6B">
        <w:rPr>
          <w:rFonts w:ascii="Palatino-Roman" w:hAnsi="Palatino-Roman" w:cs="Arial"/>
          <w:color w:val="333333"/>
          <w:sz w:val="20"/>
          <w:shd w:val="clear" w:color="auto" w:fill="FFFFFF"/>
        </w:rPr>
        <w:t>|</w:t>
      </w:r>
      <w:r w:rsidR="00B85DD3">
        <w:rPr>
          <w:rFonts w:ascii="Palatino-Roman" w:hAnsi="Palatino-Roman" w:cs="Arial"/>
          <w:color w:val="333333"/>
          <w:sz w:val="20"/>
          <w:shd w:val="clear" w:color="auto" w:fill="FFFFFF"/>
        </w:rPr>
        <w:t xml:space="preserve"> </w:t>
      </w:r>
      <w:r w:rsidR="00093FD4" w:rsidRPr="00DC3F6B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-51.9</w:t>
      </w:r>
      <w:r w:rsidR="00B85DD3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</w:t>
      </w:r>
      <w:r w:rsidR="00A80627" w:rsidRPr="00DC3F6B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|</w:t>
      </w:r>
      <w:r w:rsidR="00891C16" w:rsidRPr="00DC3F6B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 / 10</w:t>
      </w:r>
      <w:r w:rsidR="00891C1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0 X </w:t>
      </w:r>
      <w:r w:rsidR="00093FD4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4.1</w:t>
      </w:r>
      <w:r w:rsidR="00891C16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)</w:t>
      </w:r>
    </w:p>
    <w:p w14:paraId="27A59951" w14:textId="5C60E993" w:rsidR="00891C16" w:rsidRDefault="00891C16" w:rsidP="00891C16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ab/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ab/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ab/>
      </w:r>
      <w:r w:rsidR="00FB5DBB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ab/>
      </w:r>
      <w:r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= </w:t>
      </w:r>
      <w:r w:rsidR="0052481F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 xml:space="preserve">Ca:Mg of </w:t>
      </w:r>
      <w:r w:rsidR="006D5E85"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  <w:t>2.0</w:t>
      </w:r>
    </w:p>
    <w:p w14:paraId="16F78C46" w14:textId="77777777" w:rsidR="00891C16" w:rsidRDefault="00891C16" w:rsidP="00891C16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7355F5C2" w14:textId="77777777" w:rsidR="00891C16" w:rsidRDefault="00891C16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4EF44F66" w14:textId="77777777" w:rsidR="00A52D3C" w:rsidRDefault="00A52D3C" w:rsidP="00B939DE">
      <w:pPr>
        <w:spacing w:after="0"/>
        <w:ind w:right="26"/>
        <w:rPr>
          <w:rFonts w:ascii="Palatino-Roman" w:hAnsi="Palatino-Roman" w:cs="Arial"/>
          <w:color w:val="333333"/>
          <w:sz w:val="20"/>
          <w:shd w:val="clear" w:color="auto" w:fill="FFFFFF"/>
          <w:lang w:val="en-US"/>
        </w:rPr>
      </w:pPr>
    </w:p>
    <w:p w14:paraId="45CA3E48" w14:textId="7AC42D97" w:rsidR="00571E6E" w:rsidRDefault="00571E6E" w:rsidP="00B939DE">
      <w:pPr>
        <w:spacing w:after="0"/>
        <w:ind w:right="26"/>
        <w:rPr>
          <w:color w:val="333333"/>
          <w:sz w:val="20"/>
          <w:lang w:val="en-CA" w:eastAsia="en-CA"/>
        </w:rPr>
      </w:pPr>
    </w:p>
    <w:p w14:paraId="6AA758E4" w14:textId="77777777" w:rsidR="00571E6E" w:rsidRDefault="00571E6E" w:rsidP="00B939DE">
      <w:pPr>
        <w:spacing w:after="0"/>
        <w:ind w:right="26"/>
        <w:rPr>
          <w:color w:val="333333"/>
          <w:sz w:val="20"/>
          <w:lang w:val="en-CA" w:eastAsia="en-CA"/>
        </w:rPr>
      </w:pPr>
    </w:p>
    <w:sectPr w:rsidR="00571E6E" w:rsidSect="00B939D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57C33" w14:textId="77777777" w:rsidR="00F04E1F" w:rsidRDefault="00F04E1F" w:rsidP="00843614">
      <w:pPr>
        <w:spacing w:after="0" w:line="240" w:lineRule="auto"/>
      </w:pPr>
      <w:r>
        <w:separator/>
      </w:r>
    </w:p>
  </w:endnote>
  <w:endnote w:type="continuationSeparator" w:id="0">
    <w:p w14:paraId="2408BD09" w14:textId="77777777" w:rsidR="00F04E1F" w:rsidRDefault="00F04E1F" w:rsidP="0084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852705"/>
      <w:docPartObj>
        <w:docPartGallery w:val="Page Numbers (Bottom of Page)"/>
        <w:docPartUnique/>
      </w:docPartObj>
    </w:sdtPr>
    <w:sdtEndPr/>
    <w:sdtContent>
      <w:sdt>
        <w:sdtPr>
          <w:id w:val="662892686"/>
          <w:docPartObj>
            <w:docPartGallery w:val="Page Numbers (Top of Page)"/>
            <w:docPartUnique/>
          </w:docPartObj>
        </w:sdtPr>
        <w:sdtEndPr/>
        <w:sdtContent>
          <w:p w14:paraId="6E00B1C6" w14:textId="448D3BA9" w:rsidR="00C86F12" w:rsidRPr="00843614" w:rsidRDefault="00C86F12">
            <w:pPr>
              <w:pStyle w:val="Footer"/>
              <w:jc w:val="center"/>
            </w:pPr>
            <w:r w:rsidRPr="00843614">
              <w:t xml:space="preserve">Page </w:t>
            </w:r>
            <w:r w:rsidRPr="00843614">
              <w:rPr>
                <w:bCs/>
                <w:sz w:val="24"/>
                <w:szCs w:val="24"/>
              </w:rPr>
              <w:fldChar w:fldCharType="begin"/>
            </w:r>
            <w:r w:rsidRPr="00843614">
              <w:rPr>
                <w:bCs/>
              </w:rPr>
              <w:instrText xml:space="preserve"> PAGE </w:instrText>
            </w:r>
            <w:r w:rsidRPr="00843614">
              <w:rPr>
                <w:bCs/>
                <w:sz w:val="24"/>
                <w:szCs w:val="24"/>
              </w:rPr>
              <w:fldChar w:fldCharType="separate"/>
            </w:r>
            <w:r w:rsidR="008D05D2">
              <w:rPr>
                <w:bCs/>
                <w:noProof/>
              </w:rPr>
              <w:t>1</w:t>
            </w:r>
            <w:r w:rsidRPr="00843614">
              <w:rPr>
                <w:bCs/>
                <w:sz w:val="24"/>
                <w:szCs w:val="24"/>
              </w:rPr>
              <w:fldChar w:fldCharType="end"/>
            </w:r>
            <w:r w:rsidRPr="00843614">
              <w:t xml:space="preserve"> of </w:t>
            </w:r>
            <w:r w:rsidRPr="00843614">
              <w:rPr>
                <w:bCs/>
                <w:sz w:val="24"/>
                <w:szCs w:val="24"/>
              </w:rPr>
              <w:fldChar w:fldCharType="begin"/>
            </w:r>
            <w:r w:rsidRPr="00843614">
              <w:rPr>
                <w:bCs/>
              </w:rPr>
              <w:instrText xml:space="preserve"> NUMPAGES  </w:instrText>
            </w:r>
            <w:r w:rsidRPr="00843614">
              <w:rPr>
                <w:bCs/>
                <w:sz w:val="24"/>
                <w:szCs w:val="24"/>
              </w:rPr>
              <w:fldChar w:fldCharType="separate"/>
            </w:r>
            <w:r w:rsidR="008D05D2">
              <w:rPr>
                <w:bCs/>
                <w:noProof/>
              </w:rPr>
              <w:t>8</w:t>
            </w:r>
            <w:r w:rsidRPr="0084361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B3918" w14:textId="77777777" w:rsidR="00C86F12" w:rsidRDefault="00C8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3D5E1" w14:textId="77777777" w:rsidR="00F04E1F" w:rsidRDefault="00F04E1F" w:rsidP="00843614">
      <w:pPr>
        <w:spacing w:after="0" w:line="240" w:lineRule="auto"/>
      </w:pPr>
      <w:r>
        <w:separator/>
      </w:r>
    </w:p>
  </w:footnote>
  <w:footnote w:type="continuationSeparator" w:id="0">
    <w:p w14:paraId="2C73E876" w14:textId="77777777" w:rsidR="00F04E1F" w:rsidRDefault="00F04E1F" w:rsidP="0084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A23"/>
    <w:multiLevelType w:val="hybridMultilevel"/>
    <w:tmpl w:val="3C7CC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94B"/>
    <w:rsid w:val="00007353"/>
    <w:rsid w:val="00036676"/>
    <w:rsid w:val="00042347"/>
    <w:rsid w:val="00047118"/>
    <w:rsid w:val="000549EB"/>
    <w:rsid w:val="00060AE2"/>
    <w:rsid w:val="00065208"/>
    <w:rsid w:val="0007211F"/>
    <w:rsid w:val="00074036"/>
    <w:rsid w:val="000759C2"/>
    <w:rsid w:val="000852C4"/>
    <w:rsid w:val="00093FD4"/>
    <w:rsid w:val="0009438F"/>
    <w:rsid w:val="000962FC"/>
    <w:rsid w:val="000967DD"/>
    <w:rsid w:val="000C20C1"/>
    <w:rsid w:val="000E11E5"/>
    <w:rsid w:val="000F3B6E"/>
    <w:rsid w:val="00102EA4"/>
    <w:rsid w:val="00105E2A"/>
    <w:rsid w:val="001064B5"/>
    <w:rsid w:val="001074A2"/>
    <w:rsid w:val="00110A9F"/>
    <w:rsid w:val="001128A1"/>
    <w:rsid w:val="00120141"/>
    <w:rsid w:val="0012405A"/>
    <w:rsid w:val="00134B25"/>
    <w:rsid w:val="001426C3"/>
    <w:rsid w:val="00165C00"/>
    <w:rsid w:val="00173773"/>
    <w:rsid w:val="00175CC7"/>
    <w:rsid w:val="001B4414"/>
    <w:rsid w:val="001D09E5"/>
    <w:rsid w:val="001E1AC0"/>
    <w:rsid w:val="001E7CD2"/>
    <w:rsid w:val="00202E24"/>
    <w:rsid w:val="00210327"/>
    <w:rsid w:val="002362A9"/>
    <w:rsid w:val="00240418"/>
    <w:rsid w:val="002428F5"/>
    <w:rsid w:val="00242ECF"/>
    <w:rsid w:val="00252C0F"/>
    <w:rsid w:val="00253254"/>
    <w:rsid w:val="002548CD"/>
    <w:rsid w:val="00270660"/>
    <w:rsid w:val="00281F5B"/>
    <w:rsid w:val="002D5DFC"/>
    <w:rsid w:val="002F094B"/>
    <w:rsid w:val="002F1AF8"/>
    <w:rsid w:val="002F3760"/>
    <w:rsid w:val="002F396C"/>
    <w:rsid w:val="00321606"/>
    <w:rsid w:val="0032583A"/>
    <w:rsid w:val="003300B0"/>
    <w:rsid w:val="00345317"/>
    <w:rsid w:val="00350569"/>
    <w:rsid w:val="003570DA"/>
    <w:rsid w:val="003732D4"/>
    <w:rsid w:val="003A2BD8"/>
    <w:rsid w:val="003A6B80"/>
    <w:rsid w:val="003B3E19"/>
    <w:rsid w:val="003C24CE"/>
    <w:rsid w:val="003D3E35"/>
    <w:rsid w:val="003D56FD"/>
    <w:rsid w:val="003E1134"/>
    <w:rsid w:val="003E640D"/>
    <w:rsid w:val="003E6BF3"/>
    <w:rsid w:val="00404CEC"/>
    <w:rsid w:val="004052F6"/>
    <w:rsid w:val="0041554E"/>
    <w:rsid w:val="00415892"/>
    <w:rsid w:val="004168D6"/>
    <w:rsid w:val="00422A5F"/>
    <w:rsid w:val="00442E07"/>
    <w:rsid w:val="0044303B"/>
    <w:rsid w:val="004467E1"/>
    <w:rsid w:val="0046440B"/>
    <w:rsid w:val="004716E1"/>
    <w:rsid w:val="00474399"/>
    <w:rsid w:val="004820D0"/>
    <w:rsid w:val="00487D21"/>
    <w:rsid w:val="00494C38"/>
    <w:rsid w:val="004A47F1"/>
    <w:rsid w:val="004B483A"/>
    <w:rsid w:val="004B48A6"/>
    <w:rsid w:val="004B66BD"/>
    <w:rsid w:val="004D3F6A"/>
    <w:rsid w:val="004D62BD"/>
    <w:rsid w:val="004D7609"/>
    <w:rsid w:val="004E450B"/>
    <w:rsid w:val="00523234"/>
    <w:rsid w:val="0052481F"/>
    <w:rsid w:val="00524843"/>
    <w:rsid w:val="00527A93"/>
    <w:rsid w:val="005408F0"/>
    <w:rsid w:val="005437E5"/>
    <w:rsid w:val="005708C2"/>
    <w:rsid w:val="00571E6E"/>
    <w:rsid w:val="005777FB"/>
    <w:rsid w:val="005803C3"/>
    <w:rsid w:val="005818F4"/>
    <w:rsid w:val="005C1CE1"/>
    <w:rsid w:val="005D3D58"/>
    <w:rsid w:val="005E4248"/>
    <w:rsid w:val="005F48CF"/>
    <w:rsid w:val="005F4D69"/>
    <w:rsid w:val="00601B64"/>
    <w:rsid w:val="006070A3"/>
    <w:rsid w:val="00620ADE"/>
    <w:rsid w:val="00625495"/>
    <w:rsid w:val="006275AE"/>
    <w:rsid w:val="00650B52"/>
    <w:rsid w:val="0065411E"/>
    <w:rsid w:val="00655EA5"/>
    <w:rsid w:val="006742F8"/>
    <w:rsid w:val="006858FC"/>
    <w:rsid w:val="006B76C0"/>
    <w:rsid w:val="006D5E85"/>
    <w:rsid w:val="006D6960"/>
    <w:rsid w:val="006E55AD"/>
    <w:rsid w:val="006F24AB"/>
    <w:rsid w:val="00702F60"/>
    <w:rsid w:val="0071519A"/>
    <w:rsid w:val="0072122C"/>
    <w:rsid w:val="00726698"/>
    <w:rsid w:val="00750B8F"/>
    <w:rsid w:val="00790535"/>
    <w:rsid w:val="007A048F"/>
    <w:rsid w:val="007A1441"/>
    <w:rsid w:val="007A52BC"/>
    <w:rsid w:val="007D1D33"/>
    <w:rsid w:val="007D3200"/>
    <w:rsid w:val="00800074"/>
    <w:rsid w:val="00804CE7"/>
    <w:rsid w:val="00804F75"/>
    <w:rsid w:val="008145E7"/>
    <w:rsid w:val="00815FB0"/>
    <w:rsid w:val="00827B67"/>
    <w:rsid w:val="00841BCD"/>
    <w:rsid w:val="00843614"/>
    <w:rsid w:val="00845123"/>
    <w:rsid w:val="00850C66"/>
    <w:rsid w:val="00852C8E"/>
    <w:rsid w:val="0085302F"/>
    <w:rsid w:val="00853C66"/>
    <w:rsid w:val="008649CC"/>
    <w:rsid w:val="00891C16"/>
    <w:rsid w:val="00895CC1"/>
    <w:rsid w:val="00895D30"/>
    <w:rsid w:val="00895E95"/>
    <w:rsid w:val="008A7782"/>
    <w:rsid w:val="008D05D2"/>
    <w:rsid w:val="008D7F20"/>
    <w:rsid w:val="008E198C"/>
    <w:rsid w:val="008E4BF8"/>
    <w:rsid w:val="008F1CD5"/>
    <w:rsid w:val="00903583"/>
    <w:rsid w:val="009104FC"/>
    <w:rsid w:val="00911108"/>
    <w:rsid w:val="00940B6A"/>
    <w:rsid w:val="00954F58"/>
    <w:rsid w:val="00971ADA"/>
    <w:rsid w:val="00974AA4"/>
    <w:rsid w:val="009A1042"/>
    <w:rsid w:val="009B30FE"/>
    <w:rsid w:val="009C51C7"/>
    <w:rsid w:val="009D3811"/>
    <w:rsid w:val="009D5489"/>
    <w:rsid w:val="009E0B92"/>
    <w:rsid w:val="009E25F5"/>
    <w:rsid w:val="00A13925"/>
    <w:rsid w:val="00A317D7"/>
    <w:rsid w:val="00A35B89"/>
    <w:rsid w:val="00A52D3C"/>
    <w:rsid w:val="00A57515"/>
    <w:rsid w:val="00A7019B"/>
    <w:rsid w:val="00A707AA"/>
    <w:rsid w:val="00A80627"/>
    <w:rsid w:val="00A97515"/>
    <w:rsid w:val="00AA290E"/>
    <w:rsid w:val="00AB379A"/>
    <w:rsid w:val="00AB4753"/>
    <w:rsid w:val="00AD08C6"/>
    <w:rsid w:val="00AD7FB6"/>
    <w:rsid w:val="00AF297F"/>
    <w:rsid w:val="00AF2BFD"/>
    <w:rsid w:val="00B07B65"/>
    <w:rsid w:val="00B16C70"/>
    <w:rsid w:val="00B170D2"/>
    <w:rsid w:val="00B278E0"/>
    <w:rsid w:val="00B34C9A"/>
    <w:rsid w:val="00B40EE6"/>
    <w:rsid w:val="00B47342"/>
    <w:rsid w:val="00B50CD6"/>
    <w:rsid w:val="00B56F09"/>
    <w:rsid w:val="00B5733A"/>
    <w:rsid w:val="00B62CD2"/>
    <w:rsid w:val="00B85DD3"/>
    <w:rsid w:val="00B939DE"/>
    <w:rsid w:val="00B9672D"/>
    <w:rsid w:val="00BA31F8"/>
    <w:rsid w:val="00BB6C3C"/>
    <w:rsid w:val="00BD0FAB"/>
    <w:rsid w:val="00BD2DE6"/>
    <w:rsid w:val="00BD3539"/>
    <w:rsid w:val="00BD6447"/>
    <w:rsid w:val="00BD6BD3"/>
    <w:rsid w:val="00BE2D08"/>
    <w:rsid w:val="00BE4764"/>
    <w:rsid w:val="00BE7528"/>
    <w:rsid w:val="00BF53F5"/>
    <w:rsid w:val="00BF5E73"/>
    <w:rsid w:val="00BF68F8"/>
    <w:rsid w:val="00C05F2D"/>
    <w:rsid w:val="00C25167"/>
    <w:rsid w:val="00C272DD"/>
    <w:rsid w:val="00C3729B"/>
    <w:rsid w:val="00C45DAF"/>
    <w:rsid w:val="00C47252"/>
    <w:rsid w:val="00C503A1"/>
    <w:rsid w:val="00C81A7C"/>
    <w:rsid w:val="00C82909"/>
    <w:rsid w:val="00C86F12"/>
    <w:rsid w:val="00C87994"/>
    <w:rsid w:val="00CA5584"/>
    <w:rsid w:val="00CD444C"/>
    <w:rsid w:val="00CF21BE"/>
    <w:rsid w:val="00D0072D"/>
    <w:rsid w:val="00D258B9"/>
    <w:rsid w:val="00D3075E"/>
    <w:rsid w:val="00D35472"/>
    <w:rsid w:val="00D35CD4"/>
    <w:rsid w:val="00D475AF"/>
    <w:rsid w:val="00D570E7"/>
    <w:rsid w:val="00D600E9"/>
    <w:rsid w:val="00D6119F"/>
    <w:rsid w:val="00D65726"/>
    <w:rsid w:val="00D75164"/>
    <w:rsid w:val="00D86A69"/>
    <w:rsid w:val="00D92DA9"/>
    <w:rsid w:val="00D956A7"/>
    <w:rsid w:val="00DB4F94"/>
    <w:rsid w:val="00DB547F"/>
    <w:rsid w:val="00DC14E3"/>
    <w:rsid w:val="00DC2020"/>
    <w:rsid w:val="00DC3F6B"/>
    <w:rsid w:val="00DD6819"/>
    <w:rsid w:val="00DE48BA"/>
    <w:rsid w:val="00DF05B0"/>
    <w:rsid w:val="00DF1B19"/>
    <w:rsid w:val="00E106E7"/>
    <w:rsid w:val="00E12776"/>
    <w:rsid w:val="00E17860"/>
    <w:rsid w:val="00E22036"/>
    <w:rsid w:val="00E4201B"/>
    <w:rsid w:val="00E73650"/>
    <w:rsid w:val="00E7721B"/>
    <w:rsid w:val="00E77348"/>
    <w:rsid w:val="00E8360B"/>
    <w:rsid w:val="00E8369C"/>
    <w:rsid w:val="00E96A6D"/>
    <w:rsid w:val="00EB450B"/>
    <w:rsid w:val="00EB4680"/>
    <w:rsid w:val="00EB6464"/>
    <w:rsid w:val="00ED0404"/>
    <w:rsid w:val="00ED1050"/>
    <w:rsid w:val="00ED21E0"/>
    <w:rsid w:val="00F0048F"/>
    <w:rsid w:val="00F04E1F"/>
    <w:rsid w:val="00F128FC"/>
    <w:rsid w:val="00F2231A"/>
    <w:rsid w:val="00F629B8"/>
    <w:rsid w:val="00F66D6F"/>
    <w:rsid w:val="00F95702"/>
    <w:rsid w:val="00F970F3"/>
    <w:rsid w:val="00FB00B6"/>
    <w:rsid w:val="00FB2F6D"/>
    <w:rsid w:val="00FB5DBB"/>
    <w:rsid w:val="00FD5310"/>
    <w:rsid w:val="00FD6181"/>
    <w:rsid w:val="00FF2D5C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239341"/>
  <w15:docId w15:val="{9146231C-4A67-40B8-B656-56D5E899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4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2F094B"/>
    <w:pPr>
      <w:spacing w:after="0" w:line="240" w:lineRule="auto"/>
    </w:pPr>
    <w:rPr>
      <w:rFonts w:eastAsiaTheme="minorEastAsia"/>
      <w:color w:val="000000" w:themeColor="text1" w:themeShade="BF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01PaperTitle">
    <w:name w:val="01 Paper Title"/>
    <w:next w:val="02Authornames"/>
    <w:autoRedefine/>
    <w:rsid w:val="005E4248"/>
    <w:pPr>
      <w:spacing w:before="180" w:after="120" w:line="216" w:lineRule="auto"/>
      <w:contextualSpacing/>
      <w:jc w:val="center"/>
    </w:pPr>
    <w:rPr>
      <w:rFonts w:ascii="Arial Black" w:eastAsia="Times New Roman" w:hAnsi="Arial Black" w:cs="Times New Roman"/>
      <w:noProof/>
      <w:position w:val="8"/>
      <w:sz w:val="32"/>
      <w:szCs w:val="32"/>
      <w:lang w:eastAsia="en-GB"/>
    </w:rPr>
  </w:style>
  <w:style w:type="paragraph" w:customStyle="1" w:styleId="02Authornames">
    <w:name w:val="02 Author names"/>
    <w:autoRedefine/>
    <w:rsid w:val="005E4248"/>
    <w:pPr>
      <w:spacing w:after="120" w:line="240" w:lineRule="exact"/>
      <w:ind w:left="600" w:right="568"/>
      <w:jc w:val="center"/>
    </w:pPr>
    <w:rPr>
      <w:rFonts w:ascii="Times New Roman" w:eastAsia="Times New Roman" w:hAnsi="Times New Roman" w:cs="Times New Roman"/>
      <w:b/>
      <w:noProof/>
      <w:sz w:val="26"/>
      <w:lang w:eastAsia="en-GB"/>
    </w:rPr>
  </w:style>
  <w:style w:type="paragraph" w:customStyle="1" w:styleId="03Authoraffiliation">
    <w:name w:val="03 Author affiliation"/>
    <w:autoRedefine/>
    <w:rsid w:val="005E4248"/>
    <w:pPr>
      <w:spacing w:after="0" w:line="240" w:lineRule="auto"/>
      <w:jc w:val="center"/>
    </w:pPr>
    <w:rPr>
      <w:rFonts w:ascii="Times New Roman" w:eastAsia="Times New Roman" w:hAnsi="Times New Roman" w:cs="Times New Roman"/>
      <w:i/>
      <w:noProof/>
      <w:sz w:val="19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E42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1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14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FC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E7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ah.bogart@ule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Nati</dc:creator>
  <cp:lastModifiedBy>Bogart, Sarah</cp:lastModifiedBy>
  <cp:revision>6</cp:revision>
  <cp:lastPrinted>2018-07-15T22:25:00Z</cp:lastPrinted>
  <dcterms:created xsi:type="dcterms:W3CDTF">2018-09-18T21:43:00Z</dcterms:created>
  <dcterms:modified xsi:type="dcterms:W3CDTF">2018-09-21T20:57:00Z</dcterms:modified>
</cp:coreProperties>
</file>