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E870" w14:textId="77777777" w:rsidR="008027D8" w:rsidRDefault="008027D8" w:rsidP="00F32697">
      <w:pPr>
        <w:outlineLvl w:val="0"/>
        <w:rPr>
          <w:rFonts w:eastAsia="Times New Roman" w:cs="Times New Roman"/>
          <w:kern w:val="0"/>
          <w:lang w:eastAsia="en-US" w:bidi="ar-SA"/>
        </w:rPr>
      </w:pPr>
      <w:r w:rsidRPr="00A61AC3">
        <w:rPr>
          <w:rFonts w:eastAsia="Times New Roman" w:cs="Times New Roman"/>
          <w:b/>
          <w:kern w:val="0"/>
          <w:lang w:eastAsia="en-US" w:bidi="ar-SA"/>
        </w:rPr>
        <w:t xml:space="preserve">Supplemental </w:t>
      </w:r>
      <w:r>
        <w:rPr>
          <w:rFonts w:eastAsia="Times New Roman" w:cs="Times New Roman"/>
          <w:b/>
          <w:kern w:val="0"/>
          <w:lang w:eastAsia="en-US" w:bidi="ar-SA"/>
        </w:rPr>
        <w:t>M</w:t>
      </w:r>
      <w:r w:rsidRPr="00A61AC3">
        <w:rPr>
          <w:rFonts w:eastAsia="Times New Roman" w:cs="Times New Roman"/>
          <w:b/>
          <w:kern w:val="0"/>
          <w:lang w:eastAsia="en-US" w:bidi="ar-SA"/>
        </w:rPr>
        <w:t>ovie</w:t>
      </w:r>
      <w:r>
        <w:rPr>
          <w:rFonts w:eastAsia="Times New Roman" w:cs="Times New Roman"/>
          <w:b/>
          <w:kern w:val="0"/>
          <w:lang w:eastAsia="en-US" w:bidi="ar-SA"/>
        </w:rPr>
        <w:t xml:space="preserve"> 1</w:t>
      </w:r>
    </w:p>
    <w:p w14:paraId="2F491251" w14:textId="77777777" w:rsidR="008027D8" w:rsidRDefault="008027D8" w:rsidP="00F32697">
      <w:pPr>
        <w:outlineLvl w:val="0"/>
        <w:rPr>
          <w:rFonts w:eastAsia="Times New Roman" w:cs="Times New Roman"/>
          <w:kern w:val="0"/>
          <w:lang w:eastAsia="en-US" w:bidi="ar-SA"/>
        </w:rPr>
      </w:pPr>
      <w:r>
        <w:rPr>
          <w:rFonts w:eastAsia="Times New Roman" w:cs="Times New Roman"/>
          <w:kern w:val="0"/>
          <w:lang w:eastAsia="en-US" w:bidi="ar-SA"/>
        </w:rPr>
        <w:t>Imaris 3-D rendering of the sper</w:t>
      </w:r>
      <w:r w:rsidRPr="00EF5683">
        <w:rPr>
          <w:rFonts w:eastAsia="Times New Roman" w:cs="Times New Roman"/>
          <w:kern w:val="0"/>
          <w:lang w:eastAsia="en-US" w:bidi="ar-SA"/>
        </w:rPr>
        <w:t>m</w:t>
      </w:r>
      <w:r>
        <w:rPr>
          <w:rFonts w:eastAsia="Times New Roman" w:cs="Times New Roman"/>
          <w:kern w:val="0"/>
          <w:lang w:eastAsia="en-US" w:bidi="ar-SA"/>
        </w:rPr>
        <w:t>atocyte in Fig 2E.  DNA is in purple, Mad1 in green.</w:t>
      </w:r>
    </w:p>
    <w:p w14:paraId="21506A32" w14:textId="77777777" w:rsidR="008027D8" w:rsidRDefault="008027D8" w:rsidP="008027D8">
      <w:pPr>
        <w:rPr>
          <w:rFonts w:eastAsia="Times New Roman" w:cs="Times New Roman"/>
          <w:kern w:val="0"/>
          <w:lang w:eastAsia="en-US" w:bidi="ar-SA"/>
        </w:rPr>
      </w:pPr>
    </w:p>
    <w:p w14:paraId="2506BF8E" w14:textId="77777777" w:rsidR="008027D8" w:rsidRDefault="008027D8" w:rsidP="00F32697">
      <w:pPr>
        <w:outlineLvl w:val="0"/>
        <w:rPr>
          <w:b/>
        </w:rPr>
      </w:pPr>
      <w:r>
        <w:rPr>
          <w:b/>
          <w:color w:val="000000"/>
        </w:rPr>
        <w:t>Figure S1</w:t>
      </w:r>
      <w:r w:rsidRPr="000D2D7D">
        <w:rPr>
          <w:b/>
          <w:color w:val="000000"/>
        </w:rPr>
        <w:t xml:space="preserve">, </w:t>
      </w:r>
      <w:r w:rsidRPr="00391C44">
        <w:rPr>
          <w:b/>
        </w:rPr>
        <w:t xml:space="preserve">accompanying </w:t>
      </w:r>
      <w:r>
        <w:rPr>
          <w:b/>
        </w:rPr>
        <w:t>Fig 1</w:t>
      </w:r>
      <w:r w:rsidRPr="00391C44">
        <w:rPr>
          <w:b/>
        </w:rPr>
        <w:t xml:space="preserve">. </w:t>
      </w:r>
    </w:p>
    <w:p w14:paraId="0EEF77B1" w14:textId="20C6AABA" w:rsidR="008027D8" w:rsidRDefault="008027D8" w:rsidP="00F32697">
      <w:pPr>
        <w:pStyle w:val="ListParagraph"/>
        <w:numPr>
          <w:ilvl w:val="0"/>
          <w:numId w:val="1"/>
        </w:numPr>
      </w:pPr>
      <w:r w:rsidRPr="00F32697">
        <w:rPr>
          <w:lang w:val="en-GB"/>
        </w:rPr>
        <w:t xml:space="preserve">Postmitotic nuclei of larval salivary glands contain Mad1 regardless of the transgene employed. </w:t>
      </w:r>
      <w:r>
        <w:t xml:space="preserve"> Cherry-Mad1 (from Fig 1) compared with Mad1-GFP, and GFP-Mad1, independen</w:t>
      </w:r>
      <w:r w:rsidR="0007733B">
        <w:t>t</w:t>
      </w:r>
      <w:r>
        <w:t>ly ge</w:t>
      </w:r>
      <w:r w:rsidR="009B159B">
        <w:t>nerated transgenes inserted at</w:t>
      </w:r>
      <w:r>
        <w:t xml:space="preserve"> different loci. </w:t>
      </w:r>
      <w:r w:rsidR="00DB1424">
        <w:t xml:space="preserve"> The </w:t>
      </w:r>
      <w:r w:rsidR="00220D78">
        <w:t>GFP-</w:t>
      </w:r>
      <w:r w:rsidR="00DB1424">
        <w:t>M</w:t>
      </w:r>
      <w:r w:rsidR="00220D78">
        <w:t>ad1</w:t>
      </w:r>
      <w:r w:rsidR="00DB1424">
        <w:t xml:space="preserve"> </w:t>
      </w:r>
      <w:r w:rsidR="0007733B">
        <w:t>transgenic construct</w:t>
      </w:r>
      <w:r w:rsidR="00DB1424">
        <w:t xml:space="preserve"> </w:t>
      </w:r>
      <w:r w:rsidR="0007733B">
        <w:t>starts</w:t>
      </w:r>
      <w:r w:rsidR="00DB1424">
        <w:t xml:space="preserve"> </w:t>
      </w:r>
      <w:r w:rsidR="0007733B">
        <w:t>11</w:t>
      </w:r>
      <w:r w:rsidR="00DB1424">
        <w:t xml:space="preserve"> kb upstream of the </w:t>
      </w:r>
      <w:r w:rsidR="0007733B">
        <w:t>Mad1 transcription initiation site</w:t>
      </w:r>
      <w:r w:rsidR="0007733B" w:rsidRPr="0007733B">
        <w:t xml:space="preserve"> </w:t>
      </w:r>
      <w:r w:rsidR="0007733B">
        <w:t>(and includes the entire adjacent upstream transcription unit)</w:t>
      </w:r>
      <w:r w:rsidR="00DB1424">
        <w:t>, an</w:t>
      </w:r>
      <w:r w:rsidR="0007733B">
        <w:t>d extends</w:t>
      </w:r>
      <w:r w:rsidR="00DB1424">
        <w:t xml:space="preserve"> </w:t>
      </w:r>
      <w:r w:rsidR="0007733B">
        <w:t>2 kb downstream of the Mad1 transcription termination site.</w:t>
      </w:r>
      <w:r w:rsidR="00DB1424">
        <w:t xml:space="preserve">  It was inserted at a </w:t>
      </w:r>
      <w:r w:rsidR="00DB1424" w:rsidRPr="00220D78">
        <w:rPr>
          <w:i/>
        </w:rPr>
        <w:t>phiC31</w:t>
      </w:r>
      <w:r w:rsidR="00DB1424">
        <w:t xml:space="preserve"> site-specific recombination site</w:t>
      </w:r>
      <w:r w:rsidR="0007733B">
        <w:t xml:space="preserve">. </w:t>
      </w:r>
      <w:r w:rsidR="00DB1424">
        <w:t xml:space="preserve"> </w:t>
      </w:r>
      <w:r w:rsidR="0007733B">
        <w:t xml:space="preserve">The other transgenic constructs start 1.5 kb upstream of Mad1, and were inserted by P-mediated transformation. </w:t>
      </w:r>
      <w:r w:rsidR="000F2733">
        <w:t>(</w:t>
      </w:r>
      <w:r w:rsidR="0007733B">
        <w:t>See</w:t>
      </w:r>
      <w:r w:rsidR="000F2733">
        <w:t xml:space="preserve"> </w:t>
      </w:r>
      <w:r w:rsidR="000F2733">
        <w:fldChar w:fldCharType="begin">
          <w:fldData xml:space="preserve">PEVuZE5vdGU+PENpdGU+PEF1dGhvcj5CdWZmaW48L0F1dGhvcj48WWVhcj4yMDA1PC9ZZWFyPjxS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</w:fldData>
        </w:fldChar>
      </w:r>
      <w:r w:rsidR="000F2733">
        <w:instrText xml:space="preserve"> ADDIN EN.CITE </w:instrText>
      </w:r>
      <w:r w:rsidR="000F2733">
        <w:fldChar w:fldCharType="begin">
          <w:fldData xml:space="preserve">PEVuZE5vdGU+PENpdGU+PEF1dGhvcj5CdWZmaW48L0F1dGhvcj48WWVhcj4yMDA1PC9ZZWFyPjxS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</w:fldData>
        </w:fldChar>
      </w:r>
      <w:r w:rsidR="000F2733">
        <w:instrText xml:space="preserve"> ADDIN EN.CITE.DATA </w:instrText>
      </w:r>
      <w:r w:rsidR="000F2733">
        <w:fldChar w:fldCharType="end"/>
      </w:r>
      <w:r w:rsidR="000F2733">
        <w:fldChar w:fldCharType="separate"/>
      </w:r>
      <w:r w:rsidR="00CE2B25">
        <w:rPr>
          <w:noProof/>
        </w:rPr>
        <w:t>[</w:t>
      </w:r>
      <w:r w:rsidR="000F2733">
        <w:rPr>
          <w:noProof/>
        </w:rPr>
        <w:t>14</w:t>
      </w:r>
      <w:r w:rsidR="00CE2B25">
        <w:rPr>
          <w:noProof/>
        </w:rPr>
        <w:t>]</w:t>
      </w:r>
      <w:r w:rsidR="000F2733">
        <w:fldChar w:fldCharType="end"/>
      </w:r>
      <w:r w:rsidR="000F2733">
        <w:t xml:space="preserve"> for details).</w:t>
      </w:r>
    </w:p>
    <w:p w14:paraId="36BAB7AD" w14:textId="77777777" w:rsidR="00F32697" w:rsidRPr="00F32697" w:rsidRDefault="00F32697" w:rsidP="00F32697">
      <w:pPr>
        <w:rPr>
          <w:b/>
        </w:rPr>
      </w:pPr>
    </w:p>
    <w:p w14:paraId="13CF7142" w14:textId="5384C088" w:rsidR="008027D8" w:rsidRDefault="000F2733" w:rsidP="00C208C3">
      <w:pPr>
        <w:pStyle w:val="ListParagraph"/>
        <w:numPr>
          <w:ilvl w:val="0"/>
          <w:numId w:val="1"/>
        </w:numPr>
      </w:pPr>
      <w:r>
        <w:t>GFP</w:t>
      </w:r>
      <w:r w:rsidR="00DF7BBB">
        <w:t>-</w:t>
      </w:r>
      <w:r>
        <w:t xml:space="preserve"> and Cherry</w:t>
      </w:r>
      <w:r w:rsidR="00DF7BBB">
        <w:t xml:space="preserve">-tagged Mad1 </w:t>
      </w:r>
      <w:r>
        <w:t>signals in salivary gland nuclei are not artefacts of autofluorescence.</w:t>
      </w:r>
      <w:r w:rsidR="00F32697">
        <w:t xml:space="preserve"> </w:t>
      </w:r>
      <w:r w:rsidR="00220D78">
        <w:t xml:space="preserve"> The panels show two larval salivary glands, one expressing GFP-Mad1 (top left, bottom right), the other expressing Cherry-Mad1 (top right, bottom left).  Identical acquisition conditions were employed, changing only the fluorescent filter. Identical pixel intensity ranges are displayed.  Without the appropriate combination of tagged transgene and fluorescent filter, no nuclear signal is detectable. </w:t>
      </w:r>
    </w:p>
    <w:p w14:paraId="5DE550DF" w14:textId="77777777" w:rsidR="00C208C3" w:rsidRDefault="00C208C3" w:rsidP="00C208C3"/>
    <w:p w14:paraId="7911FEF3" w14:textId="16BC7003" w:rsidR="00C208C3" w:rsidRDefault="00C208C3" w:rsidP="00C208C3">
      <w:pPr>
        <w:pStyle w:val="ListParagraph"/>
        <w:numPr>
          <w:ilvl w:val="0"/>
          <w:numId w:val="1"/>
        </w:numPr>
      </w:pPr>
      <w:r>
        <w:t xml:space="preserve">MINTs are not an artefact of fixation.  Live image of a single stage 4 or 5 spermatocyte nucleus expressing Ch-Mad1 and GFP-Histone. Compare with fixed images of Mad1-GFP and DAPI staining in Figs 1 and 2.   </w:t>
      </w:r>
    </w:p>
    <w:p w14:paraId="426EAEFB" w14:textId="77777777" w:rsidR="00C208C3" w:rsidRDefault="00C208C3" w:rsidP="00C208C3"/>
    <w:p w14:paraId="5711DF84" w14:textId="164324DF" w:rsidR="00C208C3" w:rsidRPr="0007733B" w:rsidRDefault="00C208C3" w:rsidP="00C208C3">
      <w:pPr>
        <w:pStyle w:val="ListParagraph"/>
        <w:numPr>
          <w:ilvl w:val="0"/>
          <w:numId w:val="1"/>
        </w:numPr>
      </w:pPr>
      <w:r>
        <w:t xml:space="preserve">Anti-GFP antibodies do not detect MINT structures in spermatocytes not expressing GFP-tagged Mad1.  A single stage-5 spermatocyte </w:t>
      </w:r>
      <w:r w:rsidR="00DB1424">
        <w:t>from a non-transgenic testis</w:t>
      </w:r>
      <w:r>
        <w:t xml:space="preserve"> is </w:t>
      </w:r>
      <w:r w:rsidR="00DB1424">
        <w:t>shown</w:t>
      </w:r>
      <w:r>
        <w:t xml:space="preserve"> </w:t>
      </w:r>
      <w:r w:rsidR="00DB1424">
        <w:t xml:space="preserve">here stained </w:t>
      </w:r>
      <w:r>
        <w:t>with GFP-Booster (anti-GFP</w:t>
      </w:r>
      <w:r w:rsidR="00CE2B25">
        <w:t xml:space="preserve">, </w:t>
      </w:r>
      <w:r w:rsidR="00F01818">
        <w:t>488nm</w:t>
      </w:r>
      <w:r>
        <w:t>), anti-Ulp1</w:t>
      </w:r>
      <w:r w:rsidR="00CE2B25">
        <w:t xml:space="preserve"> (+</w:t>
      </w:r>
      <w:r w:rsidR="00C54A24">
        <w:t xml:space="preserve"> </w:t>
      </w:r>
      <w:r w:rsidR="00CE2B25">
        <w:t>anti-guinea pig, 640</w:t>
      </w:r>
      <w:r w:rsidR="00964820">
        <w:t>nm</w:t>
      </w:r>
      <w:bookmarkStart w:id="0" w:name="_GoBack"/>
      <w:bookmarkEnd w:id="0"/>
      <w:r w:rsidR="00CE2B25">
        <w:t>)</w:t>
      </w:r>
      <w:r>
        <w:t xml:space="preserve">, and DAPI.  The MINT structures are revealed by the anti-Ulp1 but not by the anti-GFP.  A very weakly staining structure cross-reacting with the anti-GFP probably corresponds to the Y-loops, visible by phase contrast (see </w:t>
      </w:r>
      <w:r w:rsidR="00CE2B25">
        <w:t>[</w:t>
      </w:r>
      <w:r>
        <w:rPr>
          <w:rFonts w:eastAsia="Times New Roman" w:cs="Times New Roman"/>
          <w:kern w:val="0"/>
          <w:lang w:eastAsia="fr-FR" w:bidi="ar-SA"/>
        </w:rPr>
        <w:fldChar w:fldCharType="begin"/>
      </w:r>
      <w:r>
        <w:rPr>
          <w:rFonts w:eastAsia="Times New Roman" w:cs="Times New Roman"/>
          <w:kern w:val="0"/>
          <w:lang w:eastAsia="fr-FR" w:bidi="ar-SA"/>
        </w:rPr>
        <w:instrText xml:space="preserve"> ADDIN EN.CITE &lt;EndNote&gt;&lt;Cite&gt;&lt;Author&gt;Cenci&lt;/Author&gt;&lt;Year&gt;1994&lt;/Year&gt;&lt;RecNum&gt;18&lt;/RecNum&gt;&lt;DisplayText&gt;(18)&lt;/DisplayText&gt;&lt;record&gt;&lt;rec-number&gt;18&lt;/rec-number&gt;&lt;foreign-keys&gt;&lt;key app="EN" db-id="ww5ttrz569t9rmev2z05xxz4vz5f9pvx09fv" timestamp="1536248717"&gt;18&lt;/key&gt;&lt;/foreign-keys&gt;&lt;ref-type name="Journal Article"&gt;17&lt;/ref-type&gt;&lt;contributors&gt;&lt;authors&gt;&lt;author&gt;Cenci, G.&lt;/author&gt;&lt;author&gt;Bonaccorsi, S.&lt;/author&gt;&lt;author&gt;Pisano, C.&lt;/author&gt;&lt;author&gt;Verni, F.&lt;/author&gt;&lt;author&gt;Gatti, M.&lt;/author&gt;&lt;/authors&gt;&lt;/contributors&gt;&lt;titles&gt;&lt;title&gt;Chromatin and microtubule organization during premeiotic, meiotic and early postmeiotic stages of Drosophila melanogaster spermatogenesis.&lt;/title&gt;&lt;secondary-title&gt;J.  Cell Sci&lt;/secondary-title&gt;&lt;/titles&gt;&lt;periodical&gt;&lt;full-title&gt;J.  Cell Sci&lt;/full-title&gt;&lt;/periodical&gt;&lt;pages&gt;3521-34&lt;/pages&gt;&lt;volume&gt;107&lt;/volume&gt;&lt;dates&gt;&lt;year&gt;1994&lt;/year&gt;&lt;/dates&gt;&lt;label&gt;632&lt;/label&gt;&lt;urls&gt;&lt;/urls&gt;&lt;/record&gt;&lt;/Cite&gt;&lt;/EndNote&gt;</w:instrText>
      </w:r>
      <w:r>
        <w:rPr>
          <w:rFonts w:eastAsia="Times New Roman" w:cs="Times New Roman"/>
          <w:kern w:val="0"/>
          <w:lang w:eastAsia="fr-FR" w:bidi="ar-SA"/>
        </w:rPr>
        <w:fldChar w:fldCharType="separate"/>
      </w:r>
      <w:r>
        <w:rPr>
          <w:rFonts w:eastAsia="Times New Roman" w:cs="Times New Roman"/>
          <w:noProof/>
          <w:kern w:val="0"/>
          <w:lang w:eastAsia="fr-FR" w:bidi="ar-SA"/>
        </w:rPr>
        <w:t>18</w:t>
      </w:r>
      <w:r w:rsidR="00CE2B25">
        <w:rPr>
          <w:rFonts w:eastAsia="Times New Roman" w:cs="Times New Roman"/>
          <w:noProof/>
          <w:kern w:val="0"/>
          <w:lang w:eastAsia="fr-FR" w:bidi="ar-SA"/>
        </w:rPr>
        <w:t>]</w:t>
      </w:r>
      <w:r>
        <w:rPr>
          <w:rFonts w:eastAsia="Times New Roman" w:cs="Times New Roman"/>
          <w:noProof/>
          <w:kern w:val="0"/>
          <w:lang w:eastAsia="fr-FR" w:bidi="ar-SA"/>
        </w:rPr>
        <w:t>)</w:t>
      </w:r>
      <w:r>
        <w:rPr>
          <w:rFonts w:eastAsia="Times New Roman" w:cs="Times New Roman"/>
          <w:kern w:val="0"/>
          <w:lang w:eastAsia="fr-FR" w:bidi="ar-SA"/>
        </w:rPr>
        <w:fldChar w:fldCharType="end"/>
      </w:r>
      <w:r>
        <w:rPr>
          <w:rFonts w:eastAsia="Times New Roman" w:cs="Times New Roman"/>
          <w:kern w:val="0"/>
          <w:lang w:eastAsia="fr-FR" w:bidi="ar-SA"/>
        </w:rPr>
        <w:t>.</w:t>
      </w:r>
    </w:p>
    <w:p w14:paraId="6D752DA6" w14:textId="77777777" w:rsidR="0007733B" w:rsidRDefault="0007733B" w:rsidP="0007733B">
      <w:pPr>
        <w:pStyle w:val="ListParagraph"/>
      </w:pPr>
    </w:p>
    <w:p w14:paraId="5179B742" w14:textId="641069D7" w:rsidR="008027D8" w:rsidRPr="00391C44" w:rsidRDefault="008027D8" w:rsidP="00F32697">
      <w:pPr>
        <w:outlineLvl w:val="0"/>
        <w:rPr>
          <w:b/>
        </w:rPr>
      </w:pPr>
      <w:r>
        <w:rPr>
          <w:b/>
          <w:color w:val="000000"/>
        </w:rPr>
        <w:t>Figure S2</w:t>
      </w:r>
      <w:r w:rsidRPr="000D2D7D">
        <w:rPr>
          <w:b/>
          <w:color w:val="000000"/>
        </w:rPr>
        <w:t xml:space="preserve">, </w:t>
      </w:r>
      <w:r w:rsidRPr="00391C44">
        <w:rPr>
          <w:b/>
        </w:rPr>
        <w:t xml:space="preserve">accompanying </w:t>
      </w:r>
      <w:r>
        <w:rPr>
          <w:b/>
        </w:rPr>
        <w:t xml:space="preserve">Fig </w:t>
      </w:r>
      <w:r w:rsidR="001D74F7">
        <w:rPr>
          <w:b/>
        </w:rPr>
        <w:t>3</w:t>
      </w:r>
      <w:r w:rsidRPr="00391C44">
        <w:rPr>
          <w:b/>
        </w:rPr>
        <w:t xml:space="preserve">B. </w:t>
      </w:r>
    </w:p>
    <w:p w14:paraId="457841F5" w14:textId="0DC149E0" w:rsidR="008027D8" w:rsidRPr="00427588" w:rsidRDefault="008027D8" w:rsidP="008027D8">
      <w:pPr>
        <w:rPr>
          <w:color w:val="000000"/>
        </w:rPr>
      </w:pPr>
      <w:r w:rsidRPr="000D2D7D">
        <w:rPr>
          <w:color w:val="000000"/>
        </w:rPr>
        <w:t xml:space="preserve">Whole tissue extracts from wild type and </w:t>
      </w:r>
      <w:r w:rsidRPr="000D2D7D">
        <w:rPr>
          <w:i/>
          <w:color w:val="000000"/>
        </w:rPr>
        <w:t>mad1</w:t>
      </w:r>
      <w:r w:rsidRPr="000D2D7D">
        <w:rPr>
          <w:color w:val="000000"/>
        </w:rPr>
        <w:t xml:space="preserve"> testis. </w:t>
      </w:r>
      <w:r w:rsidR="00427588">
        <w:rPr>
          <w:color w:val="000000"/>
        </w:rPr>
        <w:t xml:space="preserve"> </w:t>
      </w:r>
      <w:r w:rsidRPr="000D2D7D">
        <w:rPr>
          <w:i/>
          <w:color w:val="000000"/>
        </w:rPr>
        <w:t>Left</w:t>
      </w:r>
      <w:r w:rsidRPr="000D2D7D">
        <w:rPr>
          <w:color w:val="000000"/>
        </w:rPr>
        <w:t xml:space="preserve">: Western blot from Fig </w:t>
      </w:r>
      <w:r w:rsidR="001D74F7">
        <w:rPr>
          <w:color w:val="000000"/>
        </w:rPr>
        <w:t>3</w:t>
      </w:r>
      <w:r w:rsidRPr="000D2D7D">
        <w:rPr>
          <w:color w:val="000000"/>
        </w:rPr>
        <w:t xml:space="preserve">.  </w:t>
      </w:r>
      <w:r w:rsidRPr="000D2D7D">
        <w:rPr>
          <w:i/>
          <w:color w:val="000000"/>
        </w:rPr>
        <w:t>Right</w:t>
      </w:r>
      <w:r w:rsidRPr="000D2D7D">
        <w:rPr>
          <w:color w:val="000000"/>
        </w:rPr>
        <w:t xml:space="preserve">:  The corresponding </w:t>
      </w:r>
      <w:r w:rsidRPr="00FD7F42">
        <w:t xml:space="preserve">Coomassie stained gel, </w:t>
      </w:r>
      <w:r>
        <w:t>indicating comparable</w:t>
      </w:r>
      <w:r w:rsidRPr="00FD7F42">
        <w:t xml:space="preserve"> </w:t>
      </w:r>
      <w:r>
        <w:t>protein</w:t>
      </w:r>
      <w:r w:rsidRPr="00FD7F42">
        <w:t xml:space="preserve"> loading</w:t>
      </w:r>
      <w:r>
        <w:t xml:space="preserve"> of wild type and </w:t>
      </w:r>
      <w:r w:rsidRPr="00FD7F42">
        <w:rPr>
          <w:i/>
        </w:rPr>
        <w:t>mad1</w:t>
      </w:r>
      <w:r>
        <w:t xml:space="preserve"> extracts</w:t>
      </w:r>
      <w:r w:rsidRPr="000D2D7D">
        <w:rPr>
          <w:color w:val="000000"/>
        </w:rPr>
        <w:t xml:space="preserve">.  </w:t>
      </w:r>
      <w:r w:rsidRPr="00EF5683">
        <w:t xml:space="preserve">MINT protein levels are largely maintained in the </w:t>
      </w:r>
      <w:r w:rsidRPr="00EF5683">
        <w:rPr>
          <w:i/>
        </w:rPr>
        <w:t>mad1</w:t>
      </w:r>
      <w:r w:rsidRPr="00EF5683">
        <w:t xml:space="preserve"> mutant.</w:t>
      </w:r>
      <w:r>
        <w:t xml:space="preserve">    </w:t>
      </w:r>
    </w:p>
    <w:p w14:paraId="31872BD2" w14:textId="77777777" w:rsidR="008027D8" w:rsidRDefault="008027D8" w:rsidP="008027D8"/>
    <w:p w14:paraId="29A8ECA2" w14:textId="77777777" w:rsidR="008027D8" w:rsidRPr="00A61AC3" w:rsidRDefault="008027D8" w:rsidP="00F32697">
      <w:pPr>
        <w:outlineLvl w:val="0"/>
        <w:rPr>
          <w:b/>
        </w:rPr>
      </w:pPr>
      <w:r w:rsidRPr="00A61AC3">
        <w:rPr>
          <w:b/>
        </w:rPr>
        <w:t>Figure S</w:t>
      </w:r>
      <w:r>
        <w:rPr>
          <w:b/>
        </w:rPr>
        <w:t>3, accompanying Fig 3C</w:t>
      </w:r>
      <w:r w:rsidRPr="00A61AC3">
        <w:rPr>
          <w:b/>
        </w:rPr>
        <w:t>.</w:t>
      </w:r>
    </w:p>
    <w:p w14:paraId="799D6B57" w14:textId="7A05C185" w:rsidR="008027D8" w:rsidRDefault="008027D8" w:rsidP="008027D8">
      <w:r>
        <w:t>"Semiquantitative" images of RNAi depletion of Mtor, Ulp1, Raf2, compared to the corresponding wild type stainings, acquired and processed with identical parameters.</w:t>
      </w:r>
      <w:r w:rsidR="00427588">
        <w:t xml:space="preserve">  </w:t>
      </w:r>
      <w:r>
        <w:t>In Fig 3C, the signals of the partner proteins were enhanced to reve</w:t>
      </w:r>
      <w:r w:rsidR="009F08D2">
        <w:t>al their localization. In Fig S3</w:t>
      </w:r>
      <w:r>
        <w:t xml:space="preserve"> their levels have not been altered. Contours of the nuclei are indicated for the depletion of Mtor and Ulp1, which otherwise are undetectable.</w:t>
      </w:r>
    </w:p>
    <w:p w14:paraId="272BED15" w14:textId="77777777" w:rsidR="008027D8" w:rsidRDefault="008027D8" w:rsidP="008027D8">
      <w:pPr>
        <w:spacing w:before="0" w:after="0" w:line="240" w:lineRule="auto"/>
        <w:rPr>
          <w:rFonts w:eastAsia="Times New Roman"/>
          <w:i/>
          <w:lang w:eastAsia="en-US"/>
        </w:rPr>
      </w:pPr>
    </w:p>
    <w:p w14:paraId="5B32F780" w14:textId="77777777" w:rsidR="008027D8" w:rsidRPr="00A61AC3" w:rsidRDefault="008027D8" w:rsidP="00F32697">
      <w:pPr>
        <w:outlineLvl w:val="0"/>
        <w:rPr>
          <w:b/>
        </w:rPr>
      </w:pPr>
      <w:r w:rsidRPr="00A61AC3">
        <w:rPr>
          <w:b/>
        </w:rPr>
        <w:t>Figure S</w:t>
      </w:r>
      <w:r>
        <w:rPr>
          <w:b/>
        </w:rPr>
        <w:t>4, accompanying Fig 4A</w:t>
      </w:r>
      <w:r w:rsidRPr="00A61AC3">
        <w:rPr>
          <w:b/>
        </w:rPr>
        <w:t>.</w:t>
      </w:r>
    </w:p>
    <w:p w14:paraId="4D4DBE2B" w14:textId="03C2B336" w:rsidR="008027D8" w:rsidRPr="00427588" w:rsidRDefault="008027D8" w:rsidP="00B61B2F">
      <w:pPr>
        <w:spacing w:before="0" w:after="0"/>
        <w:ind w:right="-286"/>
        <w:rPr>
          <w:rFonts w:eastAsia="Times New Roman"/>
          <w:lang w:eastAsia="en-US"/>
        </w:rPr>
      </w:pPr>
      <w:r w:rsidRPr="00EE62CC">
        <w:rPr>
          <w:rFonts w:eastAsia="Times New Roman"/>
          <w:lang w:eastAsia="en-US"/>
        </w:rPr>
        <w:t>Homozy</w:t>
      </w:r>
      <w:r w:rsidR="00B16F24">
        <w:rPr>
          <w:rFonts w:eastAsia="Times New Roman"/>
          <w:lang w:eastAsia="en-US"/>
        </w:rPr>
        <w:t>g</w:t>
      </w:r>
      <w:r w:rsidRPr="00EE62CC">
        <w:rPr>
          <w:rFonts w:eastAsia="Times New Roman"/>
          <w:lang w:eastAsia="en-US"/>
        </w:rPr>
        <w:t>ous</w:t>
      </w:r>
      <w:r>
        <w:rPr>
          <w:rFonts w:eastAsia="Times New Roman"/>
          <w:i/>
          <w:lang w:eastAsia="en-US"/>
        </w:rPr>
        <w:t xml:space="preserve"> mad1</w:t>
      </w:r>
      <w:r>
        <w:rPr>
          <w:rFonts w:eastAsia="Times New Roman"/>
          <w:lang w:eastAsia="en-US"/>
        </w:rPr>
        <w:t xml:space="preserve"> mutants </w:t>
      </w:r>
      <w:r w:rsidRPr="00AF70A6">
        <w:t xml:space="preserve">enhance </w:t>
      </w:r>
      <w:r w:rsidRPr="00387E7D">
        <w:t>heterochromatin</w:t>
      </w:r>
      <w:r>
        <w:t>-</w:t>
      </w:r>
      <w:r w:rsidRPr="00AF70A6">
        <w:t xml:space="preserve">mediated </w:t>
      </w:r>
      <w:r>
        <w:t xml:space="preserve">extinction of </w:t>
      </w:r>
      <w:r w:rsidRPr="0040490D">
        <w:rPr>
          <w:i/>
        </w:rPr>
        <w:t>white</w:t>
      </w:r>
      <w:r>
        <w:t xml:space="preserve"> gene expression caused by the </w:t>
      </w:r>
      <w:r>
        <w:rPr>
          <w:rFonts w:eastAsia="Times New Roman"/>
          <w:i/>
          <w:lang w:eastAsia="en-US"/>
        </w:rPr>
        <w:t>w</w:t>
      </w:r>
      <w:r w:rsidRPr="00937A89">
        <w:rPr>
          <w:rFonts w:eastAsia="Times New Roman"/>
          <w:i/>
          <w:sz w:val="32"/>
          <w:vertAlign w:val="superscript"/>
          <w:lang w:eastAsia="en-US"/>
        </w:rPr>
        <w:t xml:space="preserve"> m4</w:t>
      </w:r>
      <w:r>
        <w:rPr>
          <w:rFonts w:eastAsia="Times New Roman"/>
          <w:lang w:eastAsia="en-US"/>
        </w:rPr>
        <w:t xml:space="preserve"> </w:t>
      </w:r>
      <w:r>
        <w:t>allele</w:t>
      </w:r>
      <w:r>
        <w:rPr>
          <w:rFonts w:eastAsia="Times New Roman"/>
          <w:lang w:eastAsia="en-US"/>
        </w:rPr>
        <w:t xml:space="preserve">.  Quantitation of the extent of </w:t>
      </w:r>
      <w:r w:rsidRPr="00C2404F">
        <w:rPr>
          <w:rFonts w:eastAsia="Times New Roman"/>
          <w:i/>
          <w:lang w:eastAsia="en-US"/>
        </w:rPr>
        <w:t>w</w:t>
      </w:r>
      <w:r w:rsidRPr="00937A89">
        <w:rPr>
          <w:rFonts w:eastAsia="Times New Roman"/>
          <w:i/>
          <w:sz w:val="32"/>
          <w:vertAlign w:val="superscript"/>
          <w:lang w:eastAsia="en-US"/>
        </w:rPr>
        <w:t>m4</w:t>
      </w:r>
      <w:r>
        <w:rPr>
          <w:rFonts w:eastAsia="Times New Roman"/>
          <w:lang w:eastAsia="en-US"/>
        </w:rPr>
        <w:t xml:space="preserve"> eye pigmentation </w:t>
      </w:r>
      <w:r w:rsidRPr="00846658">
        <w:rPr>
          <w:rFonts w:eastAsia="Times New Roman"/>
          <w:lang w:eastAsia="en-US"/>
        </w:rPr>
        <w:t>in</w:t>
      </w:r>
      <w:r w:rsidR="00427588">
        <w:rPr>
          <w:rFonts w:eastAsia="Times New Roman"/>
          <w:lang w:eastAsia="en-US"/>
        </w:rPr>
        <w:t xml:space="preserve"> </w:t>
      </w:r>
      <w:r w:rsidRPr="00846658">
        <w:rPr>
          <w:rFonts w:eastAsia="Times New Roman"/>
          <w:lang w:eastAsia="en-US"/>
        </w:rPr>
        <w:t>wild-type (</w:t>
      </w:r>
      <w:r w:rsidRPr="00C2404F">
        <w:rPr>
          <w:rFonts w:eastAsia="Times New Roman"/>
          <w:i/>
          <w:lang w:eastAsia="en-US"/>
        </w:rPr>
        <w:t>mad1</w:t>
      </w:r>
      <w:r w:rsidRPr="00846658">
        <w:rPr>
          <w:rFonts w:eastAsia="Times New Roman"/>
          <w:lang w:eastAsia="en-US"/>
        </w:rPr>
        <w:t xml:space="preserve">/+) </w:t>
      </w:r>
      <w:r>
        <w:rPr>
          <w:rFonts w:eastAsia="Times New Roman"/>
          <w:lang w:eastAsia="en-US"/>
        </w:rPr>
        <w:t xml:space="preserve">and homozygous </w:t>
      </w:r>
      <w:r w:rsidRPr="00A642A4">
        <w:rPr>
          <w:rFonts w:eastAsia="Times New Roman"/>
          <w:i/>
          <w:lang w:eastAsia="en-US"/>
        </w:rPr>
        <w:t>mad1</w:t>
      </w:r>
      <w:r>
        <w:rPr>
          <w:rFonts w:eastAsia="Times New Roman"/>
          <w:lang w:eastAsia="en-US"/>
        </w:rPr>
        <w:t xml:space="preserve"> </w:t>
      </w:r>
      <w:r w:rsidRPr="00846658">
        <w:rPr>
          <w:rFonts w:eastAsia="Times New Roman"/>
          <w:lang w:eastAsia="en-US"/>
        </w:rPr>
        <w:t>mutant</w:t>
      </w:r>
      <w:r w:rsidR="00B61B2F">
        <w:rPr>
          <w:rFonts w:eastAsia="Times New Roman"/>
          <w:lang w:eastAsia="en-US"/>
        </w:rPr>
        <w:t>s, “binned” into the indicated groups.</w:t>
      </w:r>
      <w:r>
        <w:rPr>
          <w:rFonts w:eastAsia="Times New Roman"/>
          <w:lang w:eastAsia="en-US"/>
        </w:rPr>
        <w:t xml:space="preserve"> </w:t>
      </w:r>
      <w:r w:rsidR="00B61B2F">
        <w:rPr>
          <w:rFonts w:eastAsia="Times New Roman"/>
          <w:lang w:eastAsia="en-US"/>
        </w:rPr>
        <w:t xml:space="preserve"> The distributions were judged significantly different by Mann-Whitney Rank Sum Test (p&lt; 0.02)</w:t>
      </w:r>
      <w:r>
        <w:br w:type="page"/>
      </w:r>
    </w:p>
    <w:p w14:paraId="3A855B34" w14:textId="77777777" w:rsidR="008027D8" w:rsidRDefault="008027D8" w:rsidP="008027D8"/>
    <w:p w14:paraId="29089CBA" w14:textId="77777777" w:rsidR="008027D8" w:rsidRPr="00E443E7" w:rsidRDefault="008027D8" w:rsidP="00F32697">
      <w:pPr>
        <w:outlineLvl w:val="0"/>
        <w:rPr>
          <w:rFonts w:cs="Times New Roman"/>
          <w:b/>
        </w:rPr>
      </w:pPr>
      <w:r w:rsidRPr="00E443E7">
        <w:rPr>
          <w:rFonts w:cs="Times New Roman"/>
          <w:b/>
        </w:rPr>
        <w:t xml:space="preserve"> Table S1</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618"/>
        <w:gridCol w:w="1225"/>
        <w:gridCol w:w="850"/>
      </w:tblGrid>
      <w:tr w:rsidR="008027D8" w14:paraId="783F7FFA" w14:textId="77777777" w:rsidTr="00B46F01">
        <w:trPr>
          <w:trHeight w:val="384"/>
        </w:trPr>
        <w:tc>
          <w:tcPr>
            <w:tcW w:w="1454" w:type="dxa"/>
            <w:vMerge w:val="restart"/>
          </w:tcPr>
          <w:p w14:paraId="4A71664F" w14:textId="77777777" w:rsidR="008027D8" w:rsidRPr="0042090B" w:rsidRDefault="008027D8" w:rsidP="00B46F01">
            <w:pPr>
              <w:spacing w:before="0" w:after="0" w:line="240" w:lineRule="auto"/>
              <w:jc w:val="center"/>
              <w:rPr>
                <w:rFonts w:cs="Times New Roman"/>
                <w:b/>
              </w:rPr>
            </w:pPr>
          </w:p>
          <w:p w14:paraId="7B6EBD43" w14:textId="77777777" w:rsidR="008027D8" w:rsidRPr="0042090B" w:rsidRDefault="008027D8" w:rsidP="00B46F01">
            <w:pPr>
              <w:spacing w:before="0" w:after="0" w:line="240" w:lineRule="auto"/>
              <w:jc w:val="center"/>
              <w:rPr>
                <w:rFonts w:cs="Times New Roman"/>
                <w:b/>
              </w:rPr>
            </w:pPr>
            <w:r w:rsidRPr="0042090B">
              <w:rPr>
                <w:rFonts w:cs="Times New Roman"/>
                <w:b/>
              </w:rPr>
              <w:t>Proteins stained</w:t>
            </w:r>
          </w:p>
        </w:tc>
        <w:tc>
          <w:tcPr>
            <w:tcW w:w="1618" w:type="dxa"/>
            <w:vMerge w:val="restart"/>
          </w:tcPr>
          <w:p w14:paraId="625FA800" w14:textId="77777777" w:rsidR="008027D8" w:rsidRPr="0042090B" w:rsidRDefault="008027D8" w:rsidP="00B46F01">
            <w:pPr>
              <w:spacing w:before="0" w:after="0" w:line="240" w:lineRule="auto"/>
              <w:jc w:val="center"/>
              <w:rPr>
                <w:rFonts w:cs="Times New Roman"/>
                <w:b/>
              </w:rPr>
            </w:pPr>
          </w:p>
          <w:p w14:paraId="0ABD012A" w14:textId="77777777" w:rsidR="008027D8" w:rsidRPr="0042090B" w:rsidRDefault="008027D8" w:rsidP="00B46F01">
            <w:pPr>
              <w:spacing w:before="0" w:after="0" w:line="240" w:lineRule="auto"/>
              <w:jc w:val="center"/>
              <w:rPr>
                <w:rFonts w:cs="Times New Roman"/>
                <w:b/>
              </w:rPr>
            </w:pPr>
            <w:r w:rsidRPr="0042090B">
              <w:rPr>
                <w:rFonts w:cs="Times New Roman"/>
                <w:b/>
              </w:rPr>
              <w:t>C</w:t>
            </w:r>
            <w:r>
              <w:rPr>
                <w:rFonts w:cs="Times New Roman"/>
                <w:b/>
              </w:rPr>
              <w:t>orrelation p</w:t>
            </w:r>
            <w:r w:rsidRPr="0042090B">
              <w:rPr>
                <w:rFonts w:cs="Times New Roman"/>
                <w:b/>
              </w:rPr>
              <w:t>airs</w:t>
            </w:r>
          </w:p>
        </w:tc>
        <w:tc>
          <w:tcPr>
            <w:tcW w:w="2075" w:type="dxa"/>
            <w:gridSpan w:val="2"/>
          </w:tcPr>
          <w:p w14:paraId="0FE250B9" w14:textId="77777777" w:rsidR="008027D8" w:rsidRPr="0042090B" w:rsidRDefault="008027D8" w:rsidP="00B46F01">
            <w:pPr>
              <w:spacing w:before="0" w:after="0" w:line="240" w:lineRule="auto"/>
              <w:jc w:val="center"/>
              <w:rPr>
                <w:rFonts w:cs="Times New Roman"/>
                <w:b/>
                <w:i/>
              </w:rPr>
            </w:pPr>
            <w:r w:rsidRPr="0042090B">
              <w:rPr>
                <w:b/>
                <w:lang w:val="en-GB"/>
              </w:rPr>
              <w:t xml:space="preserve">Pearson’s </w:t>
            </w:r>
            <w:r>
              <w:rPr>
                <w:b/>
                <w:lang w:val="en-GB"/>
              </w:rPr>
              <w:t>Correlation</w:t>
            </w:r>
            <w:r w:rsidRPr="0042090B">
              <w:rPr>
                <w:b/>
                <w:lang w:val="en-GB"/>
              </w:rPr>
              <w:t xml:space="preserve"> </w:t>
            </w:r>
            <w:r>
              <w:rPr>
                <w:b/>
                <w:lang w:val="en-GB"/>
              </w:rPr>
              <w:t>C</w:t>
            </w:r>
            <w:r w:rsidRPr="0042090B">
              <w:rPr>
                <w:b/>
                <w:lang w:val="en-GB"/>
              </w:rPr>
              <w:t>oefficient (PCC)</w:t>
            </w:r>
          </w:p>
        </w:tc>
      </w:tr>
      <w:tr w:rsidR="008027D8" w14:paraId="75D1074D" w14:textId="77777777" w:rsidTr="00B46F01">
        <w:trPr>
          <w:trHeight w:val="165"/>
        </w:trPr>
        <w:tc>
          <w:tcPr>
            <w:tcW w:w="1454" w:type="dxa"/>
            <w:vMerge/>
          </w:tcPr>
          <w:p w14:paraId="371D918E" w14:textId="77777777" w:rsidR="008027D8" w:rsidRPr="0042090B" w:rsidRDefault="008027D8" w:rsidP="00B46F01">
            <w:pPr>
              <w:spacing w:before="0" w:after="0" w:line="240" w:lineRule="auto"/>
              <w:jc w:val="center"/>
              <w:rPr>
                <w:rFonts w:cs="Times New Roman"/>
                <w:b/>
              </w:rPr>
            </w:pPr>
          </w:p>
        </w:tc>
        <w:tc>
          <w:tcPr>
            <w:tcW w:w="1618" w:type="dxa"/>
            <w:vMerge/>
          </w:tcPr>
          <w:p w14:paraId="0465D89F" w14:textId="77777777" w:rsidR="008027D8" w:rsidRPr="0042090B" w:rsidRDefault="008027D8" w:rsidP="00B46F01">
            <w:pPr>
              <w:spacing w:before="0" w:after="0" w:line="240" w:lineRule="auto"/>
              <w:jc w:val="center"/>
              <w:rPr>
                <w:rFonts w:cs="Times New Roman"/>
                <w:b/>
              </w:rPr>
            </w:pPr>
          </w:p>
        </w:tc>
        <w:tc>
          <w:tcPr>
            <w:tcW w:w="1225" w:type="dxa"/>
          </w:tcPr>
          <w:p w14:paraId="5233EBAE" w14:textId="77777777" w:rsidR="008027D8" w:rsidRPr="0042090B" w:rsidRDefault="008027D8" w:rsidP="00B46F01">
            <w:pPr>
              <w:pStyle w:val="NoSpacing"/>
              <w:rPr>
                <w:b/>
              </w:rPr>
            </w:pPr>
            <w:r>
              <w:rPr>
                <w:b/>
              </w:rPr>
              <w:t>w</w:t>
            </w:r>
            <w:r w:rsidRPr="0042090B">
              <w:rPr>
                <w:b/>
              </w:rPr>
              <w:t>ild type</w:t>
            </w:r>
          </w:p>
        </w:tc>
        <w:tc>
          <w:tcPr>
            <w:tcW w:w="850" w:type="dxa"/>
          </w:tcPr>
          <w:p w14:paraId="2CE55A96" w14:textId="77777777" w:rsidR="008027D8" w:rsidRPr="0042090B" w:rsidRDefault="008027D8" w:rsidP="00B46F01">
            <w:pPr>
              <w:pStyle w:val="NoSpacing"/>
              <w:rPr>
                <w:rFonts w:cs="Times New Roman"/>
                <w:b/>
                <w:i/>
              </w:rPr>
            </w:pPr>
            <w:r w:rsidRPr="0042090B">
              <w:rPr>
                <w:rFonts w:cs="Times New Roman"/>
                <w:b/>
                <w:i/>
              </w:rPr>
              <w:t>mad1</w:t>
            </w:r>
          </w:p>
        </w:tc>
      </w:tr>
      <w:tr w:rsidR="008027D8" w14:paraId="460022BC" w14:textId="77777777" w:rsidTr="00B46F01">
        <w:trPr>
          <w:trHeight w:val="892"/>
        </w:trPr>
        <w:tc>
          <w:tcPr>
            <w:tcW w:w="1454" w:type="dxa"/>
          </w:tcPr>
          <w:p w14:paraId="6F121ADE" w14:textId="77777777" w:rsidR="008027D8" w:rsidRDefault="008027D8" w:rsidP="00B46F01">
            <w:pPr>
              <w:spacing w:before="0" w:after="0" w:line="240" w:lineRule="auto"/>
              <w:jc w:val="center"/>
              <w:rPr>
                <w:rFonts w:cs="Times New Roman"/>
                <w:sz w:val="20"/>
                <w:szCs w:val="20"/>
              </w:rPr>
            </w:pPr>
          </w:p>
          <w:p w14:paraId="249DA745" w14:textId="77777777" w:rsidR="008027D8" w:rsidRDefault="008027D8" w:rsidP="00B46F01">
            <w:pPr>
              <w:spacing w:before="0" w:after="0" w:line="240" w:lineRule="auto"/>
              <w:jc w:val="center"/>
              <w:rPr>
                <w:rFonts w:cs="Times New Roman"/>
                <w:sz w:val="20"/>
                <w:szCs w:val="20"/>
              </w:rPr>
            </w:pPr>
            <w:r>
              <w:rPr>
                <w:rFonts w:cs="Times New Roman"/>
                <w:sz w:val="20"/>
                <w:szCs w:val="20"/>
              </w:rPr>
              <w:t>Mad1</w:t>
            </w:r>
          </w:p>
          <w:p w14:paraId="4F26B5D7" w14:textId="77777777" w:rsidR="008027D8" w:rsidRDefault="008027D8" w:rsidP="00B46F01">
            <w:pPr>
              <w:spacing w:before="0" w:after="0" w:line="240" w:lineRule="auto"/>
              <w:jc w:val="center"/>
              <w:rPr>
                <w:rFonts w:cs="Times New Roman"/>
                <w:sz w:val="20"/>
                <w:szCs w:val="20"/>
              </w:rPr>
            </w:pPr>
            <w:r>
              <w:rPr>
                <w:rFonts w:cs="Times New Roman"/>
                <w:sz w:val="20"/>
                <w:szCs w:val="20"/>
              </w:rPr>
              <w:t>Ulp1</w:t>
            </w:r>
          </w:p>
          <w:p w14:paraId="1B1AE6A7" w14:textId="77777777" w:rsidR="008027D8" w:rsidRDefault="008027D8" w:rsidP="00B46F01">
            <w:pPr>
              <w:spacing w:before="0" w:after="0" w:line="240" w:lineRule="auto"/>
              <w:jc w:val="center"/>
              <w:rPr>
                <w:rFonts w:cs="Times New Roman"/>
                <w:sz w:val="20"/>
                <w:szCs w:val="20"/>
              </w:rPr>
            </w:pPr>
            <w:r>
              <w:rPr>
                <w:rFonts w:cs="Times New Roman"/>
                <w:sz w:val="20"/>
                <w:szCs w:val="20"/>
              </w:rPr>
              <w:t>Raf2</w:t>
            </w:r>
          </w:p>
        </w:tc>
        <w:tc>
          <w:tcPr>
            <w:tcW w:w="1618" w:type="dxa"/>
          </w:tcPr>
          <w:p w14:paraId="720F5D92" w14:textId="77777777" w:rsidR="008027D8" w:rsidRDefault="008027D8" w:rsidP="00B46F01">
            <w:pPr>
              <w:spacing w:before="0" w:after="0" w:line="240" w:lineRule="auto"/>
              <w:jc w:val="center"/>
              <w:rPr>
                <w:rFonts w:cs="Times New Roman"/>
                <w:sz w:val="20"/>
                <w:szCs w:val="20"/>
              </w:rPr>
            </w:pPr>
          </w:p>
          <w:p w14:paraId="5285A020" w14:textId="77777777" w:rsidR="008027D8" w:rsidRDefault="008027D8" w:rsidP="00B46F01">
            <w:pPr>
              <w:spacing w:before="0" w:after="0" w:line="240" w:lineRule="auto"/>
              <w:jc w:val="center"/>
              <w:rPr>
                <w:rFonts w:cs="Times New Roman"/>
                <w:sz w:val="20"/>
                <w:szCs w:val="20"/>
              </w:rPr>
            </w:pPr>
            <w:r>
              <w:rPr>
                <w:rFonts w:cs="Times New Roman"/>
                <w:sz w:val="20"/>
                <w:szCs w:val="20"/>
              </w:rPr>
              <w:t>Mad1-Ulp1</w:t>
            </w:r>
          </w:p>
          <w:p w14:paraId="6B5CCFA7" w14:textId="77777777" w:rsidR="008027D8" w:rsidRDefault="008027D8" w:rsidP="00B46F01">
            <w:pPr>
              <w:spacing w:before="0" w:after="0" w:line="240" w:lineRule="auto"/>
              <w:jc w:val="center"/>
              <w:rPr>
                <w:rFonts w:cs="Times New Roman"/>
                <w:sz w:val="20"/>
                <w:szCs w:val="20"/>
              </w:rPr>
            </w:pPr>
            <w:r>
              <w:rPr>
                <w:rFonts w:cs="Times New Roman"/>
                <w:sz w:val="20"/>
                <w:szCs w:val="20"/>
              </w:rPr>
              <w:t>Mad1-Raf2</w:t>
            </w:r>
          </w:p>
          <w:p w14:paraId="62972650" w14:textId="77777777" w:rsidR="008027D8" w:rsidRDefault="008027D8" w:rsidP="00B46F01">
            <w:pPr>
              <w:spacing w:before="0" w:after="0" w:line="240" w:lineRule="auto"/>
              <w:jc w:val="center"/>
              <w:rPr>
                <w:rFonts w:cs="Times New Roman"/>
                <w:sz w:val="20"/>
                <w:szCs w:val="20"/>
              </w:rPr>
            </w:pPr>
            <w:r>
              <w:rPr>
                <w:rFonts w:cs="Times New Roman"/>
                <w:sz w:val="20"/>
                <w:szCs w:val="20"/>
              </w:rPr>
              <w:t>Ulp1-Raf2</w:t>
            </w:r>
          </w:p>
        </w:tc>
        <w:tc>
          <w:tcPr>
            <w:tcW w:w="1225" w:type="dxa"/>
          </w:tcPr>
          <w:p w14:paraId="5BA5B396" w14:textId="77777777" w:rsidR="008027D8" w:rsidRPr="003F3264" w:rsidRDefault="008027D8" w:rsidP="00B46F01">
            <w:pPr>
              <w:pStyle w:val="NoSpacing"/>
              <w:jc w:val="center"/>
              <w:rPr>
                <w:rFonts w:cs="Times New Roman"/>
                <w:sz w:val="20"/>
                <w:szCs w:val="20"/>
                <w:lang w:val="en-GB"/>
              </w:rPr>
            </w:pPr>
          </w:p>
          <w:p w14:paraId="7EE76A3D" w14:textId="77777777" w:rsidR="008027D8" w:rsidRDefault="008027D8" w:rsidP="00B46F01">
            <w:pPr>
              <w:pStyle w:val="NoSpacing"/>
              <w:jc w:val="center"/>
              <w:rPr>
                <w:rFonts w:cs="Times New Roman"/>
                <w:sz w:val="20"/>
                <w:szCs w:val="20"/>
              </w:rPr>
            </w:pPr>
            <w:r>
              <w:rPr>
                <w:rFonts w:cs="Times New Roman"/>
                <w:sz w:val="20"/>
                <w:szCs w:val="20"/>
              </w:rPr>
              <w:t>0.73</w:t>
            </w:r>
          </w:p>
          <w:p w14:paraId="0EE3A3D1" w14:textId="77777777" w:rsidR="008027D8" w:rsidRDefault="008027D8" w:rsidP="00B46F01">
            <w:pPr>
              <w:pStyle w:val="NoSpacing"/>
              <w:jc w:val="center"/>
              <w:rPr>
                <w:rFonts w:cs="Times New Roman"/>
                <w:sz w:val="20"/>
                <w:szCs w:val="20"/>
              </w:rPr>
            </w:pPr>
            <w:r>
              <w:rPr>
                <w:rFonts w:cs="Times New Roman"/>
                <w:sz w:val="20"/>
                <w:szCs w:val="20"/>
              </w:rPr>
              <w:t>0.70</w:t>
            </w:r>
          </w:p>
          <w:p w14:paraId="4E1053EE" w14:textId="77777777" w:rsidR="008027D8" w:rsidRDefault="008027D8" w:rsidP="00B46F01">
            <w:pPr>
              <w:pStyle w:val="NoSpacing"/>
              <w:jc w:val="center"/>
              <w:rPr>
                <w:rFonts w:cs="Times New Roman"/>
                <w:sz w:val="20"/>
                <w:szCs w:val="20"/>
              </w:rPr>
            </w:pPr>
            <w:r>
              <w:rPr>
                <w:rFonts w:cs="Times New Roman"/>
                <w:sz w:val="20"/>
                <w:szCs w:val="20"/>
              </w:rPr>
              <w:t>0.68</w:t>
            </w:r>
          </w:p>
        </w:tc>
        <w:tc>
          <w:tcPr>
            <w:tcW w:w="850" w:type="dxa"/>
          </w:tcPr>
          <w:p w14:paraId="6370A47B" w14:textId="77777777" w:rsidR="008027D8" w:rsidRDefault="008027D8" w:rsidP="00B46F01">
            <w:pPr>
              <w:pStyle w:val="NoSpacing"/>
              <w:jc w:val="center"/>
              <w:rPr>
                <w:rFonts w:cs="Times New Roman"/>
                <w:sz w:val="20"/>
                <w:szCs w:val="20"/>
              </w:rPr>
            </w:pPr>
          </w:p>
          <w:p w14:paraId="7362E669" w14:textId="77777777" w:rsidR="008027D8" w:rsidRDefault="008027D8" w:rsidP="00B46F01">
            <w:pPr>
              <w:pStyle w:val="NoSpacing"/>
              <w:jc w:val="center"/>
              <w:rPr>
                <w:rFonts w:cs="Times New Roman"/>
                <w:sz w:val="20"/>
                <w:szCs w:val="20"/>
              </w:rPr>
            </w:pPr>
          </w:p>
          <w:p w14:paraId="342E4148" w14:textId="77777777" w:rsidR="008027D8" w:rsidRDefault="008027D8" w:rsidP="00B46F01">
            <w:pPr>
              <w:pStyle w:val="NoSpacing"/>
              <w:jc w:val="center"/>
              <w:rPr>
                <w:rFonts w:cs="Times New Roman"/>
                <w:sz w:val="20"/>
                <w:szCs w:val="20"/>
              </w:rPr>
            </w:pPr>
          </w:p>
          <w:p w14:paraId="6D8B39CD" w14:textId="77777777" w:rsidR="008027D8" w:rsidRDefault="008027D8" w:rsidP="00B46F01">
            <w:pPr>
              <w:pStyle w:val="NoSpacing"/>
              <w:jc w:val="center"/>
              <w:rPr>
                <w:rFonts w:cs="Times New Roman"/>
                <w:sz w:val="20"/>
                <w:szCs w:val="20"/>
              </w:rPr>
            </w:pPr>
            <w:r>
              <w:rPr>
                <w:rFonts w:cs="Times New Roman"/>
                <w:sz w:val="20"/>
                <w:szCs w:val="20"/>
              </w:rPr>
              <w:t>0.34</w:t>
            </w:r>
          </w:p>
          <w:p w14:paraId="113554BA" w14:textId="77777777" w:rsidR="008027D8" w:rsidRDefault="008027D8" w:rsidP="00B46F01">
            <w:pPr>
              <w:pStyle w:val="NoSpacing"/>
              <w:jc w:val="center"/>
              <w:rPr>
                <w:rFonts w:cs="Times New Roman"/>
                <w:sz w:val="20"/>
                <w:szCs w:val="20"/>
              </w:rPr>
            </w:pPr>
          </w:p>
        </w:tc>
      </w:tr>
      <w:tr w:rsidR="008027D8" w14:paraId="0981B13A" w14:textId="77777777" w:rsidTr="00B46F01">
        <w:trPr>
          <w:trHeight w:val="1069"/>
        </w:trPr>
        <w:tc>
          <w:tcPr>
            <w:tcW w:w="1454" w:type="dxa"/>
          </w:tcPr>
          <w:p w14:paraId="0E4164DC" w14:textId="77777777" w:rsidR="008027D8" w:rsidRDefault="008027D8" w:rsidP="00B46F01">
            <w:pPr>
              <w:spacing w:before="0" w:after="0" w:line="240" w:lineRule="auto"/>
              <w:jc w:val="center"/>
              <w:rPr>
                <w:rFonts w:cs="Times New Roman"/>
                <w:sz w:val="20"/>
                <w:szCs w:val="20"/>
              </w:rPr>
            </w:pPr>
          </w:p>
          <w:p w14:paraId="7DC7083C" w14:textId="77777777" w:rsidR="008027D8" w:rsidRDefault="008027D8" w:rsidP="00B46F01">
            <w:pPr>
              <w:spacing w:before="0" w:after="0" w:line="240" w:lineRule="auto"/>
              <w:jc w:val="center"/>
              <w:rPr>
                <w:rFonts w:cs="Times New Roman"/>
                <w:sz w:val="20"/>
                <w:szCs w:val="20"/>
              </w:rPr>
            </w:pPr>
            <w:r>
              <w:rPr>
                <w:rFonts w:cs="Times New Roman"/>
                <w:sz w:val="20"/>
                <w:szCs w:val="20"/>
              </w:rPr>
              <w:t>Mad1</w:t>
            </w:r>
          </w:p>
          <w:p w14:paraId="5793EE77" w14:textId="77777777" w:rsidR="008027D8" w:rsidRDefault="008027D8" w:rsidP="00B46F01">
            <w:pPr>
              <w:spacing w:before="0" w:after="0" w:line="240" w:lineRule="auto"/>
              <w:jc w:val="center"/>
              <w:rPr>
                <w:rFonts w:cs="Times New Roman"/>
                <w:sz w:val="20"/>
                <w:szCs w:val="20"/>
              </w:rPr>
            </w:pPr>
            <w:r>
              <w:rPr>
                <w:rFonts w:cs="Times New Roman"/>
                <w:sz w:val="20"/>
                <w:szCs w:val="20"/>
              </w:rPr>
              <w:t>Mtor</w:t>
            </w:r>
          </w:p>
          <w:p w14:paraId="6130310E" w14:textId="77777777" w:rsidR="008027D8" w:rsidRDefault="008027D8" w:rsidP="00B46F01">
            <w:pPr>
              <w:spacing w:before="0" w:after="0" w:line="240" w:lineRule="auto"/>
              <w:jc w:val="center"/>
              <w:rPr>
                <w:rFonts w:cs="Times New Roman"/>
                <w:sz w:val="20"/>
                <w:szCs w:val="20"/>
              </w:rPr>
            </w:pPr>
            <w:r>
              <w:rPr>
                <w:rFonts w:cs="Times New Roman"/>
                <w:sz w:val="20"/>
                <w:szCs w:val="20"/>
              </w:rPr>
              <w:t>Mad2</w:t>
            </w:r>
          </w:p>
        </w:tc>
        <w:tc>
          <w:tcPr>
            <w:tcW w:w="1618" w:type="dxa"/>
          </w:tcPr>
          <w:p w14:paraId="10D6E086" w14:textId="77777777" w:rsidR="008027D8" w:rsidRDefault="008027D8" w:rsidP="00B46F01">
            <w:pPr>
              <w:spacing w:before="0" w:after="0" w:line="240" w:lineRule="auto"/>
              <w:jc w:val="center"/>
              <w:rPr>
                <w:rFonts w:cs="Times New Roman"/>
                <w:sz w:val="20"/>
                <w:szCs w:val="20"/>
              </w:rPr>
            </w:pPr>
          </w:p>
          <w:p w14:paraId="1E702084" w14:textId="77777777" w:rsidR="008027D8" w:rsidRDefault="008027D8" w:rsidP="00B46F01">
            <w:pPr>
              <w:spacing w:before="0" w:after="0" w:line="240" w:lineRule="auto"/>
              <w:jc w:val="center"/>
              <w:rPr>
                <w:rFonts w:cs="Times New Roman"/>
                <w:sz w:val="20"/>
                <w:szCs w:val="20"/>
              </w:rPr>
            </w:pPr>
            <w:r>
              <w:rPr>
                <w:rFonts w:cs="Times New Roman"/>
                <w:sz w:val="20"/>
                <w:szCs w:val="20"/>
              </w:rPr>
              <w:t>Mad1-Mtor</w:t>
            </w:r>
          </w:p>
          <w:p w14:paraId="4E9C2565" w14:textId="77777777" w:rsidR="008027D8" w:rsidRDefault="008027D8" w:rsidP="00B46F01">
            <w:pPr>
              <w:spacing w:before="0" w:after="0" w:line="240" w:lineRule="auto"/>
              <w:jc w:val="center"/>
              <w:rPr>
                <w:rFonts w:cs="Times New Roman"/>
                <w:sz w:val="20"/>
                <w:szCs w:val="20"/>
              </w:rPr>
            </w:pPr>
            <w:r>
              <w:rPr>
                <w:rFonts w:cs="Times New Roman"/>
                <w:sz w:val="20"/>
                <w:szCs w:val="20"/>
              </w:rPr>
              <w:t>Mad1-Mad2</w:t>
            </w:r>
          </w:p>
          <w:p w14:paraId="57536B6E" w14:textId="77777777" w:rsidR="008027D8" w:rsidRDefault="008027D8" w:rsidP="00B46F01">
            <w:pPr>
              <w:spacing w:before="0" w:after="0" w:line="240" w:lineRule="auto"/>
              <w:jc w:val="center"/>
              <w:rPr>
                <w:rFonts w:cs="Times New Roman"/>
                <w:sz w:val="20"/>
                <w:szCs w:val="20"/>
              </w:rPr>
            </w:pPr>
            <w:r>
              <w:rPr>
                <w:rFonts w:cs="Times New Roman"/>
                <w:sz w:val="20"/>
                <w:szCs w:val="20"/>
              </w:rPr>
              <w:t>Mtor-Mad2</w:t>
            </w:r>
          </w:p>
        </w:tc>
        <w:tc>
          <w:tcPr>
            <w:tcW w:w="1225" w:type="dxa"/>
          </w:tcPr>
          <w:p w14:paraId="364D4FB3" w14:textId="77777777" w:rsidR="008027D8" w:rsidRPr="003F3264" w:rsidRDefault="008027D8" w:rsidP="00B46F01">
            <w:pPr>
              <w:pStyle w:val="NoSpacing"/>
              <w:jc w:val="center"/>
              <w:rPr>
                <w:rFonts w:cs="Times New Roman"/>
                <w:sz w:val="20"/>
                <w:szCs w:val="20"/>
                <w:lang w:val="en-GB"/>
              </w:rPr>
            </w:pPr>
          </w:p>
          <w:p w14:paraId="4EF75FB7" w14:textId="77777777" w:rsidR="008027D8" w:rsidRDefault="008027D8" w:rsidP="00B46F01">
            <w:pPr>
              <w:pStyle w:val="NoSpacing"/>
              <w:jc w:val="center"/>
              <w:rPr>
                <w:rFonts w:cs="Times New Roman"/>
                <w:sz w:val="20"/>
                <w:szCs w:val="20"/>
              </w:rPr>
            </w:pPr>
            <w:r>
              <w:rPr>
                <w:rFonts w:cs="Times New Roman"/>
                <w:sz w:val="20"/>
                <w:szCs w:val="20"/>
              </w:rPr>
              <w:t>0.63</w:t>
            </w:r>
          </w:p>
          <w:p w14:paraId="031FD995" w14:textId="77777777" w:rsidR="008027D8" w:rsidRDefault="008027D8" w:rsidP="00B46F01">
            <w:pPr>
              <w:pStyle w:val="NoSpacing"/>
              <w:jc w:val="center"/>
              <w:rPr>
                <w:rFonts w:cs="Times New Roman"/>
                <w:sz w:val="20"/>
                <w:szCs w:val="20"/>
              </w:rPr>
            </w:pPr>
            <w:r>
              <w:rPr>
                <w:rFonts w:cs="Times New Roman"/>
                <w:sz w:val="20"/>
                <w:szCs w:val="20"/>
              </w:rPr>
              <w:t>0.57</w:t>
            </w:r>
          </w:p>
          <w:p w14:paraId="77EAE465" w14:textId="77777777" w:rsidR="008027D8" w:rsidRDefault="008027D8" w:rsidP="00B46F01">
            <w:pPr>
              <w:pStyle w:val="NoSpacing"/>
              <w:jc w:val="center"/>
              <w:rPr>
                <w:rFonts w:cs="Times New Roman"/>
                <w:sz w:val="20"/>
                <w:szCs w:val="20"/>
              </w:rPr>
            </w:pPr>
            <w:r>
              <w:rPr>
                <w:rFonts w:cs="Times New Roman"/>
                <w:sz w:val="20"/>
                <w:szCs w:val="20"/>
              </w:rPr>
              <w:t>0.68</w:t>
            </w:r>
          </w:p>
        </w:tc>
        <w:tc>
          <w:tcPr>
            <w:tcW w:w="850" w:type="dxa"/>
          </w:tcPr>
          <w:p w14:paraId="0948EA89" w14:textId="77777777" w:rsidR="008027D8" w:rsidRDefault="008027D8" w:rsidP="00B46F01">
            <w:pPr>
              <w:pStyle w:val="NoSpacing"/>
              <w:jc w:val="center"/>
              <w:rPr>
                <w:rFonts w:cs="Times New Roman"/>
                <w:sz w:val="20"/>
                <w:szCs w:val="20"/>
              </w:rPr>
            </w:pPr>
          </w:p>
          <w:p w14:paraId="4D5A4D48" w14:textId="77777777" w:rsidR="008027D8" w:rsidRDefault="008027D8" w:rsidP="00B46F01">
            <w:pPr>
              <w:pStyle w:val="NoSpacing"/>
              <w:jc w:val="center"/>
              <w:rPr>
                <w:rFonts w:cs="Times New Roman"/>
                <w:sz w:val="20"/>
                <w:szCs w:val="20"/>
              </w:rPr>
            </w:pPr>
          </w:p>
          <w:p w14:paraId="1C538FE3" w14:textId="77777777" w:rsidR="008027D8" w:rsidRDefault="008027D8" w:rsidP="00B46F01">
            <w:pPr>
              <w:pStyle w:val="NoSpacing"/>
              <w:jc w:val="center"/>
              <w:rPr>
                <w:rFonts w:cs="Times New Roman"/>
                <w:sz w:val="20"/>
                <w:szCs w:val="20"/>
              </w:rPr>
            </w:pPr>
          </w:p>
          <w:p w14:paraId="4CC3AAF1" w14:textId="77777777" w:rsidR="008027D8" w:rsidRDefault="008027D8" w:rsidP="00B46F01">
            <w:pPr>
              <w:pStyle w:val="NoSpacing"/>
              <w:jc w:val="center"/>
              <w:rPr>
                <w:rFonts w:cs="Times New Roman"/>
                <w:sz w:val="20"/>
                <w:szCs w:val="20"/>
              </w:rPr>
            </w:pPr>
            <w:r>
              <w:rPr>
                <w:rFonts w:cs="Times New Roman"/>
                <w:sz w:val="20"/>
                <w:szCs w:val="20"/>
              </w:rPr>
              <w:t>0.13</w:t>
            </w:r>
          </w:p>
        </w:tc>
      </w:tr>
      <w:tr w:rsidR="008027D8" w14:paraId="1B90B376" w14:textId="77777777" w:rsidTr="00B46F01">
        <w:trPr>
          <w:trHeight w:val="851"/>
        </w:trPr>
        <w:tc>
          <w:tcPr>
            <w:tcW w:w="1454" w:type="dxa"/>
          </w:tcPr>
          <w:p w14:paraId="4F78B119" w14:textId="77777777" w:rsidR="008027D8" w:rsidRDefault="008027D8" w:rsidP="00B46F01">
            <w:pPr>
              <w:spacing w:before="0" w:after="0" w:line="240" w:lineRule="auto"/>
              <w:jc w:val="center"/>
              <w:rPr>
                <w:rFonts w:cs="Times New Roman"/>
                <w:sz w:val="20"/>
                <w:szCs w:val="20"/>
              </w:rPr>
            </w:pPr>
          </w:p>
          <w:p w14:paraId="642EDA4E" w14:textId="77777777" w:rsidR="008027D8" w:rsidRDefault="008027D8" w:rsidP="00B46F01">
            <w:pPr>
              <w:spacing w:before="0" w:after="0" w:line="240" w:lineRule="auto"/>
              <w:jc w:val="center"/>
              <w:rPr>
                <w:rFonts w:cs="Times New Roman"/>
                <w:sz w:val="20"/>
                <w:szCs w:val="20"/>
              </w:rPr>
            </w:pPr>
            <w:r>
              <w:rPr>
                <w:rFonts w:cs="Times New Roman"/>
                <w:sz w:val="20"/>
                <w:szCs w:val="20"/>
              </w:rPr>
              <w:t>Mad1</w:t>
            </w:r>
          </w:p>
          <w:p w14:paraId="7479D473" w14:textId="77777777" w:rsidR="008027D8" w:rsidRDefault="008027D8" w:rsidP="00B46F01">
            <w:pPr>
              <w:spacing w:before="0" w:after="0" w:line="240" w:lineRule="auto"/>
              <w:jc w:val="center"/>
              <w:rPr>
                <w:rFonts w:cs="Times New Roman"/>
                <w:sz w:val="20"/>
                <w:szCs w:val="20"/>
              </w:rPr>
            </w:pPr>
            <w:r>
              <w:rPr>
                <w:rFonts w:cs="Times New Roman"/>
                <w:sz w:val="20"/>
                <w:szCs w:val="20"/>
              </w:rPr>
              <w:t>Mtor</w:t>
            </w:r>
          </w:p>
          <w:p w14:paraId="00D8321F" w14:textId="77777777" w:rsidR="008027D8" w:rsidRDefault="008027D8" w:rsidP="00B46F01">
            <w:pPr>
              <w:spacing w:before="0" w:after="0" w:line="240" w:lineRule="auto"/>
              <w:jc w:val="center"/>
              <w:rPr>
                <w:rFonts w:cs="Times New Roman"/>
                <w:sz w:val="20"/>
                <w:szCs w:val="20"/>
              </w:rPr>
            </w:pPr>
            <w:r>
              <w:rPr>
                <w:rFonts w:cs="Times New Roman"/>
                <w:sz w:val="20"/>
                <w:szCs w:val="20"/>
              </w:rPr>
              <w:t>Ulp1</w:t>
            </w:r>
          </w:p>
          <w:p w14:paraId="010789EF" w14:textId="77777777" w:rsidR="008027D8" w:rsidRDefault="008027D8" w:rsidP="00B46F01">
            <w:pPr>
              <w:spacing w:before="0" w:after="0" w:line="240" w:lineRule="auto"/>
              <w:jc w:val="center"/>
              <w:rPr>
                <w:rFonts w:cs="Times New Roman"/>
                <w:sz w:val="20"/>
                <w:szCs w:val="20"/>
              </w:rPr>
            </w:pPr>
          </w:p>
        </w:tc>
        <w:tc>
          <w:tcPr>
            <w:tcW w:w="1618" w:type="dxa"/>
          </w:tcPr>
          <w:p w14:paraId="194351EC" w14:textId="77777777" w:rsidR="008027D8" w:rsidRDefault="008027D8" w:rsidP="00B46F01">
            <w:pPr>
              <w:spacing w:before="0" w:after="0" w:line="240" w:lineRule="auto"/>
              <w:jc w:val="center"/>
              <w:rPr>
                <w:rFonts w:cs="Times New Roman"/>
                <w:sz w:val="20"/>
                <w:szCs w:val="20"/>
              </w:rPr>
            </w:pPr>
          </w:p>
          <w:p w14:paraId="46AA7D45" w14:textId="77777777" w:rsidR="008027D8" w:rsidRDefault="008027D8" w:rsidP="00B46F01">
            <w:pPr>
              <w:spacing w:before="0" w:after="0" w:line="240" w:lineRule="auto"/>
              <w:jc w:val="center"/>
              <w:rPr>
                <w:rFonts w:cs="Times New Roman"/>
                <w:sz w:val="20"/>
                <w:szCs w:val="20"/>
              </w:rPr>
            </w:pPr>
            <w:r>
              <w:rPr>
                <w:rFonts w:cs="Times New Roman"/>
                <w:sz w:val="20"/>
                <w:szCs w:val="20"/>
              </w:rPr>
              <w:t>Mad1-Mtor</w:t>
            </w:r>
          </w:p>
          <w:p w14:paraId="1594A9E8" w14:textId="77777777" w:rsidR="008027D8" w:rsidRDefault="008027D8" w:rsidP="00B46F01">
            <w:pPr>
              <w:spacing w:before="0" w:after="0" w:line="240" w:lineRule="auto"/>
              <w:jc w:val="center"/>
              <w:rPr>
                <w:rFonts w:cs="Times New Roman"/>
                <w:sz w:val="20"/>
                <w:szCs w:val="20"/>
              </w:rPr>
            </w:pPr>
            <w:r>
              <w:rPr>
                <w:rFonts w:cs="Times New Roman"/>
                <w:sz w:val="20"/>
                <w:szCs w:val="20"/>
              </w:rPr>
              <w:t>Mad1-Ulp</w:t>
            </w:r>
          </w:p>
          <w:p w14:paraId="0346DF62" w14:textId="77777777" w:rsidR="008027D8" w:rsidRDefault="008027D8" w:rsidP="00B46F01">
            <w:pPr>
              <w:spacing w:before="0" w:after="0" w:line="240" w:lineRule="auto"/>
              <w:jc w:val="center"/>
              <w:rPr>
                <w:rFonts w:cs="Times New Roman"/>
                <w:sz w:val="20"/>
                <w:szCs w:val="20"/>
              </w:rPr>
            </w:pPr>
            <w:r>
              <w:rPr>
                <w:rFonts w:cs="Times New Roman"/>
                <w:sz w:val="20"/>
                <w:szCs w:val="20"/>
              </w:rPr>
              <w:t>Mtor-Ulp1</w:t>
            </w:r>
          </w:p>
        </w:tc>
        <w:tc>
          <w:tcPr>
            <w:tcW w:w="1225" w:type="dxa"/>
          </w:tcPr>
          <w:p w14:paraId="50F46B9F" w14:textId="77777777" w:rsidR="008027D8" w:rsidRPr="003F3264" w:rsidRDefault="008027D8" w:rsidP="00B46F01">
            <w:pPr>
              <w:pStyle w:val="NoSpacing"/>
              <w:jc w:val="center"/>
              <w:rPr>
                <w:rFonts w:cs="Times New Roman"/>
                <w:sz w:val="20"/>
                <w:szCs w:val="20"/>
                <w:lang w:val="en-GB"/>
              </w:rPr>
            </w:pPr>
          </w:p>
          <w:p w14:paraId="4BD1955F" w14:textId="77777777" w:rsidR="008027D8" w:rsidRDefault="008027D8" w:rsidP="00B46F01">
            <w:pPr>
              <w:pStyle w:val="NoSpacing"/>
              <w:jc w:val="center"/>
              <w:rPr>
                <w:rFonts w:cs="Times New Roman"/>
                <w:sz w:val="20"/>
                <w:szCs w:val="20"/>
              </w:rPr>
            </w:pPr>
            <w:r>
              <w:rPr>
                <w:rFonts w:cs="Times New Roman"/>
                <w:sz w:val="20"/>
                <w:szCs w:val="20"/>
              </w:rPr>
              <w:t>0.58</w:t>
            </w:r>
          </w:p>
          <w:p w14:paraId="425C297D" w14:textId="77777777" w:rsidR="008027D8" w:rsidRDefault="008027D8" w:rsidP="00B46F01">
            <w:pPr>
              <w:pStyle w:val="NoSpacing"/>
              <w:jc w:val="center"/>
              <w:rPr>
                <w:rFonts w:cs="Times New Roman"/>
                <w:sz w:val="20"/>
                <w:szCs w:val="20"/>
              </w:rPr>
            </w:pPr>
            <w:r>
              <w:rPr>
                <w:rFonts w:cs="Times New Roman"/>
                <w:sz w:val="20"/>
                <w:szCs w:val="20"/>
              </w:rPr>
              <w:t>0.57</w:t>
            </w:r>
          </w:p>
          <w:p w14:paraId="64B0814A" w14:textId="77777777" w:rsidR="008027D8" w:rsidRDefault="008027D8" w:rsidP="00B46F01">
            <w:pPr>
              <w:pStyle w:val="NoSpacing"/>
              <w:jc w:val="center"/>
              <w:rPr>
                <w:rFonts w:cs="Times New Roman"/>
                <w:sz w:val="20"/>
                <w:szCs w:val="20"/>
              </w:rPr>
            </w:pPr>
            <w:r>
              <w:rPr>
                <w:rFonts w:cs="Times New Roman"/>
                <w:sz w:val="20"/>
                <w:szCs w:val="20"/>
              </w:rPr>
              <w:t>0.63</w:t>
            </w:r>
          </w:p>
        </w:tc>
        <w:tc>
          <w:tcPr>
            <w:tcW w:w="850" w:type="dxa"/>
          </w:tcPr>
          <w:p w14:paraId="625CEEC3" w14:textId="77777777" w:rsidR="008027D8" w:rsidRDefault="008027D8" w:rsidP="00B46F01">
            <w:pPr>
              <w:pStyle w:val="NoSpacing"/>
              <w:jc w:val="center"/>
              <w:rPr>
                <w:rFonts w:cs="Times New Roman"/>
                <w:sz w:val="20"/>
                <w:szCs w:val="20"/>
              </w:rPr>
            </w:pPr>
          </w:p>
          <w:p w14:paraId="2240AAD9" w14:textId="77777777" w:rsidR="008027D8" w:rsidRDefault="008027D8" w:rsidP="00B46F01">
            <w:pPr>
              <w:pStyle w:val="NoSpacing"/>
              <w:jc w:val="center"/>
              <w:rPr>
                <w:rFonts w:cs="Times New Roman"/>
                <w:sz w:val="20"/>
                <w:szCs w:val="20"/>
              </w:rPr>
            </w:pPr>
          </w:p>
          <w:p w14:paraId="25E711E9" w14:textId="77777777" w:rsidR="008027D8" w:rsidRDefault="008027D8" w:rsidP="00B46F01">
            <w:pPr>
              <w:pStyle w:val="NoSpacing"/>
              <w:jc w:val="center"/>
              <w:rPr>
                <w:rFonts w:cs="Times New Roman"/>
                <w:sz w:val="20"/>
                <w:szCs w:val="20"/>
              </w:rPr>
            </w:pPr>
          </w:p>
          <w:p w14:paraId="2CA6F1A3" w14:textId="77777777" w:rsidR="008027D8" w:rsidRDefault="008027D8" w:rsidP="00B46F01">
            <w:pPr>
              <w:pStyle w:val="NoSpacing"/>
              <w:jc w:val="center"/>
              <w:rPr>
                <w:rFonts w:cs="Times New Roman"/>
                <w:sz w:val="20"/>
                <w:szCs w:val="20"/>
              </w:rPr>
            </w:pPr>
            <w:r>
              <w:rPr>
                <w:rFonts w:cs="Times New Roman"/>
                <w:sz w:val="20"/>
                <w:szCs w:val="20"/>
              </w:rPr>
              <w:t>0.28</w:t>
            </w:r>
          </w:p>
        </w:tc>
      </w:tr>
    </w:tbl>
    <w:p w14:paraId="19418704" w14:textId="77777777" w:rsidR="008027D8" w:rsidRDefault="008027D8" w:rsidP="008027D8">
      <w:pPr>
        <w:spacing w:before="0" w:after="0" w:line="240" w:lineRule="auto"/>
        <w:rPr>
          <w:rFonts w:cs="Times New Roman"/>
          <w:sz w:val="20"/>
          <w:szCs w:val="20"/>
        </w:rPr>
      </w:pPr>
    </w:p>
    <w:p w14:paraId="01E5736F" w14:textId="77777777" w:rsidR="008027D8" w:rsidRDefault="008027D8" w:rsidP="008027D8">
      <w:pPr>
        <w:spacing w:before="0" w:after="0" w:line="240" w:lineRule="auto"/>
        <w:rPr>
          <w:rFonts w:cs="Times New Roman"/>
          <w:sz w:val="20"/>
          <w:szCs w:val="20"/>
        </w:rPr>
      </w:pPr>
    </w:p>
    <w:p w14:paraId="5A8A07AB" w14:textId="77777777" w:rsidR="008027D8" w:rsidRDefault="008027D8" w:rsidP="008027D8">
      <w:pPr>
        <w:spacing w:before="0" w:after="0"/>
        <w:rPr>
          <w:rFonts w:cs="Times New Roman"/>
          <w:sz w:val="20"/>
          <w:szCs w:val="20"/>
        </w:rPr>
      </w:pPr>
    </w:p>
    <w:p w14:paraId="7C551A9D" w14:textId="77777777" w:rsidR="008027D8" w:rsidRDefault="008027D8" w:rsidP="008027D8">
      <w:pPr>
        <w:spacing w:before="0" w:after="0"/>
        <w:rPr>
          <w:rFonts w:cs="Times New Roman"/>
        </w:rPr>
      </w:pPr>
      <w:r>
        <w:rPr>
          <w:rFonts w:cs="Times New Roman"/>
        </w:rPr>
        <w:t xml:space="preserve">In three separate immunostainings, wild type or </w:t>
      </w:r>
      <w:r w:rsidRPr="0042090B">
        <w:rPr>
          <w:rFonts w:cs="Times New Roman"/>
          <w:i/>
        </w:rPr>
        <w:t>mad1</w:t>
      </w:r>
      <w:r>
        <w:rPr>
          <w:rFonts w:cs="Times New Roman"/>
        </w:rPr>
        <w:t xml:space="preserve"> mutant s</w:t>
      </w:r>
      <w:r w:rsidRPr="0042090B">
        <w:rPr>
          <w:rFonts w:cs="Times New Roman"/>
        </w:rPr>
        <w:t>permatocytes</w:t>
      </w:r>
      <w:r>
        <w:rPr>
          <w:rFonts w:cs="Times New Roman"/>
        </w:rPr>
        <w:t xml:space="preserve"> were labeled for 3 of the 4 MINT components (first column). The PCC (third and fourth columns) was determined for each of the indicated signal pairs (second column), as described in the Methods.  The pairwise signals were highly correlated in the wild type (PCC approx. 0.6-0.7), but low in the </w:t>
      </w:r>
      <w:r w:rsidRPr="00E443E7">
        <w:rPr>
          <w:rFonts w:cs="Times New Roman"/>
          <w:i/>
        </w:rPr>
        <w:t>mad1</w:t>
      </w:r>
      <w:r>
        <w:rPr>
          <w:rFonts w:cs="Times New Roman"/>
        </w:rPr>
        <w:t xml:space="preserve"> mutant.</w:t>
      </w:r>
    </w:p>
    <w:p w14:paraId="3BB912DF" w14:textId="77777777" w:rsidR="008027D8" w:rsidRDefault="008027D8" w:rsidP="008027D8">
      <w:pPr>
        <w:spacing w:before="0" w:after="0" w:line="240" w:lineRule="auto"/>
        <w:rPr>
          <w:rFonts w:cs="Times New Roman"/>
        </w:rPr>
      </w:pPr>
    </w:p>
    <w:sectPr w:rsidR="008027D8" w:rsidSect="00427588">
      <w:headerReference w:type="even" r:id="rId7"/>
      <w:headerReference w:type="default" r:id="rId8"/>
      <w:pgSz w:w="11906" w:h="16838"/>
      <w:pgMar w:top="969" w:right="990" w:bottom="1418" w:left="1418" w:header="72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A3CD" w14:textId="77777777" w:rsidR="001C39D8" w:rsidRDefault="001C39D8">
      <w:pPr>
        <w:spacing w:before="0" w:after="0" w:line="240" w:lineRule="auto"/>
      </w:pPr>
      <w:r>
        <w:separator/>
      </w:r>
    </w:p>
  </w:endnote>
  <w:endnote w:type="continuationSeparator" w:id="0">
    <w:p w14:paraId="0C742596" w14:textId="77777777" w:rsidR="001C39D8" w:rsidRDefault="001C39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D045" w14:textId="77777777" w:rsidR="001C39D8" w:rsidRDefault="001C39D8">
      <w:pPr>
        <w:spacing w:before="0" w:after="0" w:line="240" w:lineRule="auto"/>
      </w:pPr>
      <w:r>
        <w:separator/>
      </w:r>
    </w:p>
  </w:footnote>
  <w:footnote w:type="continuationSeparator" w:id="0">
    <w:p w14:paraId="4C052968" w14:textId="77777777" w:rsidR="001C39D8" w:rsidRDefault="001C39D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C6B6" w14:textId="77777777" w:rsidR="00DF6517" w:rsidRDefault="007D41C0" w:rsidP="00CA3235">
    <w:pPr>
      <w:pStyle w:val="Header"/>
      <w:framePr w:wrap="around" w:vAnchor="text" w:hAnchor="margin" w:xAlign="right" w:y="1"/>
      <w:rPr>
        <w:rStyle w:val="PageNumber"/>
        <w:rFonts w:cs="Lucida Sans"/>
        <w:szCs w:val="24"/>
      </w:rPr>
    </w:pPr>
    <w:r>
      <w:rPr>
        <w:rStyle w:val="PageNumber"/>
      </w:rPr>
      <w:fldChar w:fldCharType="begin"/>
    </w:r>
    <w:r>
      <w:rPr>
        <w:rStyle w:val="PageNumber"/>
      </w:rPr>
      <w:instrText xml:space="preserve">PAGE  </w:instrText>
    </w:r>
    <w:r>
      <w:rPr>
        <w:rStyle w:val="PageNumber"/>
      </w:rPr>
      <w:fldChar w:fldCharType="end"/>
    </w:r>
  </w:p>
  <w:p w14:paraId="403ADD1A" w14:textId="77777777" w:rsidR="00DF6517" w:rsidRDefault="001C39D8" w:rsidP="00CA32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BDFD" w14:textId="77777777" w:rsidR="00DF6517" w:rsidRDefault="007D41C0" w:rsidP="00CA3235">
    <w:pPr>
      <w:pStyle w:val="Header"/>
      <w:framePr w:wrap="around" w:vAnchor="text" w:hAnchor="margin" w:xAlign="right" w:y="1"/>
      <w:rPr>
        <w:rStyle w:val="PageNumber"/>
        <w:rFonts w:cs="Lucida Sans"/>
        <w:szCs w:val="24"/>
      </w:rPr>
    </w:pPr>
    <w:r>
      <w:rPr>
        <w:rStyle w:val="PageNumber"/>
      </w:rPr>
      <w:fldChar w:fldCharType="begin"/>
    </w:r>
    <w:r>
      <w:rPr>
        <w:rStyle w:val="PageNumber"/>
      </w:rPr>
      <w:instrText xml:space="preserve">PAGE  </w:instrText>
    </w:r>
    <w:r>
      <w:rPr>
        <w:rStyle w:val="PageNumber"/>
      </w:rPr>
      <w:fldChar w:fldCharType="separate"/>
    </w:r>
    <w:r w:rsidR="001C39D8">
      <w:rPr>
        <w:rStyle w:val="PageNumber"/>
        <w:noProof/>
      </w:rPr>
      <w:t>1</w:t>
    </w:r>
    <w:r>
      <w:rPr>
        <w:rStyle w:val="PageNumber"/>
      </w:rPr>
      <w:fldChar w:fldCharType="end"/>
    </w:r>
  </w:p>
  <w:p w14:paraId="52867165" w14:textId="77777777" w:rsidR="00DF6517" w:rsidRDefault="007D41C0" w:rsidP="00CA3235">
    <w:pPr>
      <w:pStyle w:val="Header"/>
      <w:spacing w:line="276" w:lineRule="auto"/>
      <w:ind w:right="360"/>
    </w:pPr>
    <w:r>
      <w:t>Raich et al.</w:t>
    </w:r>
    <w:r>
      <w:tab/>
      <w:t xml:space="preserve">                                                                    An interphase role for Mad1</w:t>
    </w:r>
  </w:p>
  <w:p w14:paraId="0AB90B68" w14:textId="77777777" w:rsidR="00DF6517" w:rsidRDefault="007D41C0" w:rsidP="00CA3235">
    <w:pPr>
      <w:pStyle w:val="Header"/>
      <w:spacing w:line="276" w:lineRule="auto"/>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3998"/>
    <w:multiLevelType w:val="hybridMultilevel"/>
    <w:tmpl w:val="9E50E828"/>
    <w:lvl w:ilvl="0" w:tplc="7B04B2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D8"/>
    <w:rsid w:val="0007716B"/>
    <w:rsid w:val="0007733B"/>
    <w:rsid w:val="00096087"/>
    <w:rsid w:val="000F2733"/>
    <w:rsid w:val="00112A50"/>
    <w:rsid w:val="001149D7"/>
    <w:rsid w:val="001709B6"/>
    <w:rsid w:val="00184644"/>
    <w:rsid w:val="00197574"/>
    <w:rsid w:val="001B0036"/>
    <w:rsid w:val="001B6BBF"/>
    <w:rsid w:val="001C39D8"/>
    <w:rsid w:val="001D1784"/>
    <w:rsid w:val="001D4956"/>
    <w:rsid w:val="001D74F7"/>
    <w:rsid w:val="001F036B"/>
    <w:rsid w:val="00220D78"/>
    <w:rsid w:val="0028568A"/>
    <w:rsid w:val="002F51EA"/>
    <w:rsid w:val="00302B40"/>
    <w:rsid w:val="00337D64"/>
    <w:rsid w:val="00364459"/>
    <w:rsid w:val="003711EE"/>
    <w:rsid w:val="003A7D85"/>
    <w:rsid w:val="003C0323"/>
    <w:rsid w:val="0042125C"/>
    <w:rsid w:val="00427588"/>
    <w:rsid w:val="004574B3"/>
    <w:rsid w:val="004A58E6"/>
    <w:rsid w:val="004E5E19"/>
    <w:rsid w:val="005460FF"/>
    <w:rsid w:val="00563730"/>
    <w:rsid w:val="005A409D"/>
    <w:rsid w:val="005E6DD8"/>
    <w:rsid w:val="005F79EC"/>
    <w:rsid w:val="0061016B"/>
    <w:rsid w:val="00637AF1"/>
    <w:rsid w:val="00640A6C"/>
    <w:rsid w:val="00650091"/>
    <w:rsid w:val="00670037"/>
    <w:rsid w:val="006A1462"/>
    <w:rsid w:val="006B1448"/>
    <w:rsid w:val="007405E8"/>
    <w:rsid w:val="00744DDE"/>
    <w:rsid w:val="00787B31"/>
    <w:rsid w:val="007C7E96"/>
    <w:rsid w:val="007D2B70"/>
    <w:rsid w:val="007D41C0"/>
    <w:rsid w:val="008027D8"/>
    <w:rsid w:val="00854CC2"/>
    <w:rsid w:val="008A27F7"/>
    <w:rsid w:val="008B4602"/>
    <w:rsid w:val="008D45AB"/>
    <w:rsid w:val="00901505"/>
    <w:rsid w:val="00964820"/>
    <w:rsid w:val="009B159B"/>
    <w:rsid w:val="009B474B"/>
    <w:rsid w:val="009B5F8A"/>
    <w:rsid w:val="009E4722"/>
    <w:rsid w:val="009F08D2"/>
    <w:rsid w:val="00A07DCF"/>
    <w:rsid w:val="00A275E3"/>
    <w:rsid w:val="00A334AB"/>
    <w:rsid w:val="00A85E36"/>
    <w:rsid w:val="00AB45BC"/>
    <w:rsid w:val="00AB58F5"/>
    <w:rsid w:val="00AC5D57"/>
    <w:rsid w:val="00AD124B"/>
    <w:rsid w:val="00B010ED"/>
    <w:rsid w:val="00B16F24"/>
    <w:rsid w:val="00B21F7D"/>
    <w:rsid w:val="00B24BA1"/>
    <w:rsid w:val="00B24E26"/>
    <w:rsid w:val="00B34C31"/>
    <w:rsid w:val="00B45715"/>
    <w:rsid w:val="00B60D36"/>
    <w:rsid w:val="00B61B2F"/>
    <w:rsid w:val="00B864EE"/>
    <w:rsid w:val="00BE645D"/>
    <w:rsid w:val="00BF319D"/>
    <w:rsid w:val="00C04847"/>
    <w:rsid w:val="00C10BE5"/>
    <w:rsid w:val="00C1393C"/>
    <w:rsid w:val="00C208C3"/>
    <w:rsid w:val="00C40B9D"/>
    <w:rsid w:val="00C42512"/>
    <w:rsid w:val="00C54A24"/>
    <w:rsid w:val="00CE2B25"/>
    <w:rsid w:val="00CE64C1"/>
    <w:rsid w:val="00D253F1"/>
    <w:rsid w:val="00D97988"/>
    <w:rsid w:val="00DB1424"/>
    <w:rsid w:val="00DF7BBB"/>
    <w:rsid w:val="00E7446C"/>
    <w:rsid w:val="00EF1CF0"/>
    <w:rsid w:val="00F01818"/>
    <w:rsid w:val="00F26C74"/>
    <w:rsid w:val="00F32697"/>
    <w:rsid w:val="00F33AB2"/>
    <w:rsid w:val="00F50888"/>
    <w:rsid w:val="00FD77C6"/>
    <w:rsid w:val="00FF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596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7D8"/>
    <w:pPr>
      <w:widowControl w:val="0"/>
      <w:suppressAutoHyphens/>
      <w:autoSpaceDN w:val="0"/>
      <w:spacing w:before="120" w:after="120" w:line="360" w:lineRule="auto"/>
      <w:textAlignment w:val="baseline"/>
    </w:pPr>
    <w:rPr>
      <w:rFonts w:ascii="Times" w:eastAsia="SimSun" w:hAnsi="Times" w:cs="Lucida Sans"/>
      <w:kern w:val="3"/>
      <w:lang w:val="en-US" w:eastAsia="zh-CN" w:bidi="hi-IN"/>
    </w:rPr>
  </w:style>
  <w:style w:type="paragraph" w:styleId="Heading1">
    <w:name w:val="heading 1"/>
    <w:basedOn w:val="Normal"/>
    <w:next w:val="Normal"/>
    <w:link w:val="Heading1Char"/>
    <w:uiPriority w:val="9"/>
    <w:qFormat/>
    <w:rsid w:val="008027D8"/>
    <w:pPr>
      <w:keepNext/>
      <w:keepLines/>
      <w:spacing w:before="240"/>
      <w:outlineLvl w:val="0"/>
    </w:pPr>
    <w:rPr>
      <w:rFonts w:ascii="Calibri" w:eastAsia="ＭＳ ゴシック" w:hAnsi="Calibri" w:cs="Mangal"/>
      <w:b/>
      <w:color w:val="2E74B5"/>
      <w:sz w:val="32"/>
      <w:szCs w:val="29"/>
    </w:rPr>
  </w:style>
  <w:style w:type="paragraph" w:styleId="Heading2">
    <w:name w:val="heading 2"/>
    <w:basedOn w:val="Normal"/>
    <w:next w:val="Normal"/>
    <w:link w:val="Heading2Char"/>
    <w:uiPriority w:val="9"/>
    <w:unhideWhenUsed/>
    <w:qFormat/>
    <w:rsid w:val="00427588"/>
    <w:pPr>
      <w:keepNext/>
      <w:keepLines/>
      <w:spacing w:before="40" w:after="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7D8"/>
    <w:rPr>
      <w:rFonts w:ascii="Calibri" w:eastAsia="ＭＳ ゴシック" w:hAnsi="Calibri" w:cs="Mangal"/>
      <w:b/>
      <w:color w:val="2E74B5"/>
      <w:kern w:val="3"/>
      <w:sz w:val="32"/>
      <w:szCs w:val="29"/>
      <w:lang w:val="en-US" w:eastAsia="zh-CN" w:bidi="hi-IN"/>
    </w:rPr>
  </w:style>
  <w:style w:type="paragraph" w:styleId="Header">
    <w:name w:val="header"/>
    <w:basedOn w:val="Normal"/>
    <w:link w:val="HeaderChar"/>
    <w:uiPriority w:val="99"/>
    <w:unhideWhenUsed/>
    <w:rsid w:val="008027D8"/>
    <w:pPr>
      <w:tabs>
        <w:tab w:val="center" w:pos="4703"/>
        <w:tab w:val="right" w:pos="9406"/>
      </w:tabs>
    </w:pPr>
    <w:rPr>
      <w:rFonts w:cs="Mangal"/>
      <w:szCs w:val="21"/>
    </w:rPr>
  </w:style>
  <w:style w:type="character" w:customStyle="1" w:styleId="HeaderChar">
    <w:name w:val="Header Char"/>
    <w:basedOn w:val="DefaultParagraphFont"/>
    <w:link w:val="Header"/>
    <w:uiPriority w:val="99"/>
    <w:rsid w:val="008027D8"/>
    <w:rPr>
      <w:rFonts w:ascii="Times" w:eastAsia="SimSun" w:hAnsi="Times" w:cs="Mangal"/>
      <w:kern w:val="3"/>
      <w:szCs w:val="21"/>
      <w:lang w:val="en-US" w:eastAsia="zh-CN" w:bidi="hi-IN"/>
    </w:rPr>
  </w:style>
  <w:style w:type="character" w:styleId="PageNumber">
    <w:name w:val="page number"/>
    <w:basedOn w:val="DefaultParagraphFont"/>
    <w:uiPriority w:val="99"/>
    <w:semiHidden/>
    <w:unhideWhenUsed/>
    <w:rsid w:val="008027D8"/>
  </w:style>
  <w:style w:type="paragraph" w:styleId="NoSpacing">
    <w:name w:val="No Spacing"/>
    <w:uiPriority w:val="1"/>
    <w:qFormat/>
    <w:rsid w:val="008027D8"/>
    <w:pPr>
      <w:widowControl w:val="0"/>
      <w:suppressAutoHyphens/>
      <w:autoSpaceDN w:val="0"/>
      <w:textAlignment w:val="baseline"/>
    </w:pPr>
    <w:rPr>
      <w:rFonts w:ascii="Times New Roman" w:eastAsia="SimSun" w:hAnsi="Times New Roman" w:cs="Lucida Sans"/>
      <w:kern w:val="3"/>
      <w:lang w:val="fr-FR" w:eastAsia="zh-CN" w:bidi="hi-IN"/>
    </w:rPr>
  </w:style>
  <w:style w:type="character" w:styleId="LineNumber">
    <w:name w:val="line number"/>
    <w:basedOn w:val="DefaultParagraphFont"/>
    <w:uiPriority w:val="99"/>
    <w:semiHidden/>
    <w:unhideWhenUsed/>
    <w:rsid w:val="008027D8"/>
  </w:style>
  <w:style w:type="character" w:customStyle="1" w:styleId="Heading2Char">
    <w:name w:val="Heading 2 Char"/>
    <w:basedOn w:val="DefaultParagraphFont"/>
    <w:link w:val="Heading2"/>
    <w:uiPriority w:val="9"/>
    <w:rsid w:val="00427588"/>
    <w:rPr>
      <w:rFonts w:asciiTheme="majorHAnsi" w:eastAsiaTheme="majorEastAsia" w:hAnsiTheme="majorHAnsi" w:cs="Mangal"/>
      <w:color w:val="2F5496" w:themeColor="accent1" w:themeShade="BF"/>
      <w:kern w:val="3"/>
      <w:sz w:val="26"/>
      <w:szCs w:val="23"/>
      <w:lang w:val="en-US" w:eastAsia="zh-CN" w:bidi="hi-IN"/>
    </w:rPr>
  </w:style>
  <w:style w:type="paragraph" w:styleId="DocumentMap">
    <w:name w:val="Document Map"/>
    <w:basedOn w:val="Normal"/>
    <w:link w:val="DocumentMapChar"/>
    <w:uiPriority w:val="99"/>
    <w:semiHidden/>
    <w:unhideWhenUsed/>
    <w:rsid w:val="00F32697"/>
    <w:pPr>
      <w:spacing w:before="0" w:after="0" w:line="240" w:lineRule="auto"/>
    </w:pPr>
    <w:rPr>
      <w:rFonts w:ascii="Times New Roman" w:hAnsi="Times New Roman" w:cs="Mangal"/>
      <w:szCs w:val="21"/>
    </w:rPr>
  </w:style>
  <w:style w:type="character" w:customStyle="1" w:styleId="DocumentMapChar">
    <w:name w:val="Document Map Char"/>
    <w:basedOn w:val="DefaultParagraphFont"/>
    <w:link w:val="DocumentMap"/>
    <w:uiPriority w:val="99"/>
    <w:semiHidden/>
    <w:rsid w:val="00F32697"/>
    <w:rPr>
      <w:rFonts w:ascii="Times New Roman" w:eastAsia="SimSun" w:hAnsi="Times New Roman" w:cs="Mangal"/>
      <w:kern w:val="3"/>
      <w:szCs w:val="21"/>
      <w:lang w:val="en-US" w:eastAsia="zh-CN" w:bidi="hi-IN"/>
    </w:rPr>
  </w:style>
  <w:style w:type="paragraph" w:styleId="ListParagraph">
    <w:name w:val="List Paragraph"/>
    <w:basedOn w:val="Normal"/>
    <w:uiPriority w:val="34"/>
    <w:qFormat/>
    <w:rsid w:val="00F3269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717</Words>
  <Characters>4087</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Supplemental Movie 1</vt:lpstr>
      <vt:lpstr>Imaris 3-D rendering of the spermatocyte in Fig 2E.  DNA is in purple, Mad1 in g</vt:lpstr>
      <vt:lpstr>Figure S1, accompanying Fig 1. </vt:lpstr>
      <vt:lpstr>Figure S2, accompanying Fig 3B. </vt:lpstr>
      <vt:lpstr>Figure S3, accompanying Fig 3C.</vt:lpstr>
      <vt:lpstr>Figure S4, accompanying Fig 4A.</vt:lpstr>
      <vt:lpstr>Table S1</vt:lpstr>
    </vt:vector>
  </TitlesOfParts>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Karess</dc:creator>
  <cp:keywords/>
  <dc:description/>
  <cp:lastModifiedBy>Roger Karess</cp:lastModifiedBy>
  <cp:revision>5</cp:revision>
  <cp:lastPrinted>2018-09-11T13:25:00Z</cp:lastPrinted>
  <dcterms:created xsi:type="dcterms:W3CDTF">2018-10-03T07:44:00Z</dcterms:created>
  <dcterms:modified xsi:type="dcterms:W3CDTF">2018-10-03T12:02:00Z</dcterms:modified>
</cp:coreProperties>
</file>