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F022" w14:textId="77777777" w:rsidR="0085633C" w:rsidRPr="0085633C" w:rsidRDefault="0085633C" w:rsidP="007768C1">
      <w:pPr>
        <w:jc w:val="center"/>
        <w:rPr>
          <w:rFonts w:ascii="Times New Roman"/>
          <w:b/>
          <w:sz w:val="24"/>
          <w:szCs w:val="24"/>
          <w:u w:val="single"/>
        </w:rPr>
      </w:pPr>
      <w:r w:rsidRPr="0085633C">
        <w:rPr>
          <w:rFonts w:ascii="Times New Roman"/>
          <w:b/>
          <w:sz w:val="24"/>
          <w:szCs w:val="24"/>
          <w:u w:val="single"/>
        </w:rPr>
        <w:t>Supplementary Materials</w:t>
      </w:r>
    </w:p>
    <w:p w14:paraId="5169457B" w14:textId="77777777" w:rsidR="0085633C" w:rsidRDefault="0085633C" w:rsidP="0085633C">
      <w:pPr>
        <w:spacing w:after="0" w:line="48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Article title: </w:t>
      </w:r>
      <w:r w:rsidRPr="0085633C">
        <w:rPr>
          <w:rFonts w:ascii="Times New Roman"/>
          <w:sz w:val="24"/>
          <w:szCs w:val="24"/>
        </w:rPr>
        <w:t xml:space="preserve">A temporal shift in trophic diversity among a predator assemblage in a </w:t>
      </w:r>
      <w:r w:rsidR="00FE1D70">
        <w:rPr>
          <w:rFonts w:ascii="Times New Roman"/>
          <w:sz w:val="24"/>
          <w:szCs w:val="24"/>
        </w:rPr>
        <w:t>warming</w:t>
      </w:r>
      <w:r w:rsidRPr="0085633C">
        <w:rPr>
          <w:rFonts w:ascii="Times New Roman"/>
          <w:sz w:val="24"/>
          <w:szCs w:val="24"/>
        </w:rPr>
        <w:t xml:space="preserve"> Arctic</w:t>
      </w:r>
    </w:p>
    <w:p w14:paraId="4E9B66B6" w14:textId="77777777" w:rsidR="0085633C" w:rsidRDefault="0085633C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Author list: </w:t>
      </w:r>
      <w:r w:rsidR="008B0535">
        <w:rPr>
          <w:rFonts w:ascii="Times New Roman"/>
          <w:sz w:val="24"/>
          <w:szCs w:val="24"/>
        </w:rPr>
        <w:t>David J. Yurkow</w:t>
      </w:r>
      <w:r w:rsidRPr="0085633C">
        <w:rPr>
          <w:rFonts w:ascii="Times New Roman"/>
          <w:sz w:val="24"/>
          <w:szCs w:val="24"/>
        </w:rPr>
        <w:t>s</w:t>
      </w:r>
      <w:r w:rsidR="008B0535">
        <w:rPr>
          <w:rFonts w:ascii="Times New Roman"/>
          <w:sz w:val="24"/>
          <w:szCs w:val="24"/>
        </w:rPr>
        <w:t>k</w:t>
      </w:r>
      <w:r w:rsidRPr="0085633C">
        <w:rPr>
          <w:rFonts w:ascii="Times New Roman"/>
          <w:sz w:val="24"/>
          <w:szCs w:val="24"/>
        </w:rPr>
        <w:t>i, Nigel E. Hussey, Steven H. Ferguson and Aaron T. Fisk</w:t>
      </w:r>
    </w:p>
    <w:p w14:paraId="3AC02497" w14:textId="77777777" w:rsidR="0085633C" w:rsidRDefault="0085633C">
      <w:pPr>
        <w:rPr>
          <w:rFonts w:ascii="Times New Roman"/>
          <w:b/>
          <w:sz w:val="24"/>
          <w:szCs w:val="24"/>
        </w:rPr>
      </w:pPr>
    </w:p>
    <w:p w14:paraId="784891D7" w14:textId="77777777" w:rsidR="0009325A" w:rsidRPr="00374DD4" w:rsidRDefault="0009325A">
      <w:pPr>
        <w:rPr>
          <w:rFonts w:ascii="Times New Roman"/>
          <w:b/>
          <w:sz w:val="24"/>
          <w:szCs w:val="24"/>
          <w:u w:val="single"/>
        </w:rPr>
      </w:pPr>
      <w:r w:rsidRPr="00374DD4">
        <w:rPr>
          <w:rFonts w:ascii="Times New Roman"/>
          <w:b/>
          <w:sz w:val="24"/>
          <w:szCs w:val="24"/>
          <w:u w:val="single"/>
        </w:rPr>
        <w:t>Consideration of assumptions</w:t>
      </w:r>
    </w:p>
    <w:p w14:paraId="130FCEE8" w14:textId="6A6FA8A0" w:rsidR="008B11BA" w:rsidRDefault="0022684F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Two factors could potentially impact our data interpretation: 1) oceanic Suess effect, and 2) long-term variation in isotopic baselines. When considering the oceanic Suess effect</w:t>
      </w:r>
      <w:r w:rsidRPr="0009325A">
        <w:rPr>
          <w:rFonts w:ascii="Times New Roman"/>
          <w:sz w:val="24"/>
          <w:szCs w:val="24"/>
        </w:rPr>
        <w:t>, δ</w:t>
      </w:r>
      <w:r w:rsidRPr="0009325A">
        <w:rPr>
          <w:rFonts w:ascii="Times New Roman"/>
          <w:sz w:val="24"/>
          <w:szCs w:val="24"/>
          <w:vertAlign w:val="superscript"/>
        </w:rPr>
        <w:t>13</w:t>
      </w:r>
      <w:r w:rsidRPr="0009325A">
        <w:rPr>
          <w:rFonts w:ascii="Times New Roman"/>
          <w:sz w:val="24"/>
          <w:szCs w:val="24"/>
        </w:rPr>
        <w:t>C values for each predator species within both time periods (</w:t>
      </w:r>
      <w:r w:rsidR="00DB3F65">
        <w:rPr>
          <w:rFonts w:ascii="Times New Roman"/>
          <w:sz w:val="24"/>
          <w:szCs w:val="24"/>
        </w:rPr>
        <w:t>12</w:t>
      </w:r>
      <w:r w:rsidRPr="0009325A">
        <w:rPr>
          <w:rFonts w:ascii="Times New Roman"/>
          <w:sz w:val="24"/>
          <w:szCs w:val="24"/>
        </w:rPr>
        <w:t xml:space="preserve"> years and </w:t>
      </w:r>
      <w:r w:rsidR="00DB3F65">
        <w:rPr>
          <w:rFonts w:ascii="Times New Roman"/>
          <w:sz w:val="24"/>
          <w:szCs w:val="24"/>
        </w:rPr>
        <w:t>7</w:t>
      </w:r>
      <w:r w:rsidRPr="0009325A">
        <w:rPr>
          <w:rFonts w:ascii="Times New Roman"/>
          <w:sz w:val="24"/>
          <w:szCs w:val="24"/>
        </w:rPr>
        <w:t xml:space="preserve"> years</w:t>
      </w:r>
      <w:r>
        <w:rPr>
          <w:rFonts w:ascii="Times New Roman"/>
          <w:sz w:val="24"/>
          <w:szCs w:val="24"/>
        </w:rPr>
        <w:t xml:space="preserve"> before the present</w:t>
      </w:r>
      <w:r w:rsidRPr="0009325A">
        <w:rPr>
          <w:rFonts w:ascii="Times New Roman"/>
          <w:sz w:val="24"/>
          <w:szCs w:val="24"/>
        </w:rPr>
        <w:t xml:space="preserve">) were not corrected </w:t>
      </w:r>
      <w:r>
        <w:rPr>
          <w:rFonts w:ascii="Times New Roman"/>
          <w:sz w:val="24"/>
          <w:szCs w:val="24"/>
        </w:rPr>
        <w:t xml:space="preserve">prior to analysis. No correction was undertaken given </w:t>
      </w:r>
      <w:r w:rsidRPr="0009325A">
        <w:rPr>
          <w:rFonts w:ascii="Times New Roman"/>
          <w:sz w:val="24"/>
          <w:szCs w:val="24"/>
        </w:rPr>
        <w:t xml:space="preserve">minimal changes </w:t>
      </w:r>
      <w:r>
        <w:rPr>
          <w:rFonts w:ascii="Times New Roman"/>
          <w:sz w:val="24"/>
          <w:szCs w:val="24"/>
        </w:rPr>
        <w:t xml:space="preserve">of the Suess effect </w:t>
      </w:r>
      <w:r w:rsidRPr="0009325A">
        <w:rPr>
          <w:rFonts w:ascii="Times New Roman"/>
          <w:sz w:val="24"/>
          <w:szCs w:val="24"/>
        </w:rPr>
        <w:t>per decade</w:t>
      </w:r>
      <w:r>
        <w:rPr>
          <w:rFonts w:ascii="Times New Roman"/>
          <w:sz w:val="24"/>
          <w:szCs w:val="24"/>
        </w:rPr>
        <w:t xml:space="preserve"> </w:t>
      </w:r>
      <w:r w:rsidR="00892EED">
        <w:rPr>
          <w:rFonts w:ascii="Times New Roman"/>
          <w:sz w:val="24"/>
          <w:szCs w:val="24"/>
        </w:rPr>
        <w:t xml:space="preserve">(-0.18‰) [1] </w:t>
      </w:r>
      <w:r>
        <w:rPr>
          <w:rFonts w:ascii="Times New Roman"/>
          <w:sz w:val="24"/>
          <w:szCs w:val="24"/>
        </w:rPr>
        <w:t>relative to the timeframe of our observations</w:t>
      </w:r>
      <w:r w:rsidR="00061AA1">
        <w:rPr>
          <w:rFonts w:ascii="Times New Roman"/>
          <w:sz w:val="24"/>
          <w:szCs w:val="24"/>
        </w:rPr>
        <w:t>.</w:t>
      </w:r>
      <w:r w:rsidRPr="0009325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For example, maximal changes in </w:t>
      </w:r>
      <w:r w:rsidRPr="0009325A">
        <w:rPr>
          <w:rFonts w:ascii="Times New Roman"/>
          <w:sz w:val="24"/>
          <w:szCs w:val="24"/>
        </w:rPr>
        <w:t>δ</w:t>
      </w:r>
      <w:r w:rsidRPr="0009325A">
        <w:rPr>
          <w:rFonts w:ascii="Times New Roman"/>
          <w:sz w:val="24"/>
          <w:szCs w:val="24"/>
          <w:vertAlign w:val="superscript"/>
        </w:rPr>
        <w:t>13</w:t>
      </w:r>
      <w:r w:rsidRPr="0009325A">
        <w:rPr>
          <w:rFonts w:ascii="Times New Roman"/>
          <w:sz w:val="24"/>
          <w:szCs w:val="24"/>
        </w:rPr>
        <w:t>C (&lt;0.</w:t>
      </w:r>
      <w:r w:rsidR="002C4DB9">
        <w:rPr>
          <w:rFonts w:ascii="Times New Roman"/>
          <w:sz w:val="24"/>
          <w:szCs w:val="24"/>
        </w:rPr>
        <w:t>2</w:t>
      </w:r>
      <w:r w:rsidRPr="0009325A">
        <w:rPr>
          <w:rFonts w:ascii="Times New Roman"/>
          <w:sz w:val="24"/>
          <w:szCs w:val="24"/>
        </w:rPr>
        <w:t xml:space="preserve">‰) </w:t>
      </w:r>
      <w:r>
        <w:rPr>
          <w:rFonts w:ascii="Times New Roman"/>
          <w:sz w:val="24"/>
          <w:szCs w:val="24"/>
        </w:rPr>
        <w:t>within the early time period</w:t>
      </w:r>
      <w:r w:rsidRPr="0009325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(19</w:t>
      </w:r>
      <w:r w:rsidR="002C4DB9">
        <w:rPr>
          <w:rFonts w:ascii="Times New Roman"/>
          <w:sz w:val="24"/>
          <w:szCs w:val="24"/>
        </w:rPr>
        <w:t>90</w:t>
      </w:r>
      <w:r>
        <w:rPr>
          <w:rFonts w:ascii="Times New Roman"/>
          <w:sz w:val="24"/>
          <w:szCs w:val="24"/>
        </w:rPr>
        <w:t>-2002) would lead</w:t>
      </w:r>
      <w:r w:rsidRPr="0009325A">
        <w:rPr>
          <w:rFonts w:ascii="Times New Roman"/>
          <w:sz w:val="24"/>
          <w:szCs w:val="24"/>
        </w:rPr>
        <w:t xml:space="preserve"> to a negligible change in mixing model results (see </w:t>
      </w:r>
      <w:r w:rsidR="00892EED">
        <w:rPr>
          <w:rFonts w:ascii="Times New Roman"/>
          <w:sz w:val="24"/>
          <w:szCs w:val="24"/>
        </w:rPr>
        <w:t>[2]</w:t>
      </w:r>
      <w:r w:rsidRPr="00374DD4">
        <w:rPr>
          <w:rFonts w:ascii="Times New Roman"/>
          <w:sz w:val="24"/>
          <w:szCs w:val="24"/>
        </w:rPr>
        <w:t>).</w:t>
      </w:r>
      <w:r>
        <w:rPr>
          <w:rFonts w:ascii="Times New Roman"/>
          <w:sz w:val="24"/>
          <w:szCs w:val="24"/>
        </w:rPr>
        <w:t xml:space="preserve"> The degree of change during the later time period (200</w:t>
      </w:r>
      <w:r w:rsidR="002C4DB9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-2012) is even less (&lt;0.18</w:t>
      </w:r>
      <w:r w:rsidRPr="0009325A">
        <w:rPr>
          <w:rFonts w:ascii="Times New Roman"/>
          <w:sz w:val="24"/>
          <w:szCs w:val="24"/>
        </w:rPr>
        <w:t>‰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) and slightly above the measurement error for the mass spectrometer </w:t>
      </w:r>
      <w:r w:rsidRPr="00B6026F">
        <w:rPr>
          <w:rFonts w:ascii="Times New Roman"/>
          <w:sz w:val="24"/>
          <w:szCs w:val="24"/>
        </w:rPr>
        <w:t xml:space="preserve">(0.1‰). </w:t>
      </w:r>
      <w:r>
        <w:rPr>
          <w:rFonts w:ascii="Times New Roman"/>
          <w:sz w:val="24"/>
          <w:szCs w:val="24"/>
        </w:rPr>
        <w:t>It was therefore deemed unnecessary to correct these data. With regard to variation in isotopic baselines</w:t>
      </w:r>
      <w:r w:rsidRPr="00B6026F">
        <w:rPr>
          <w:rFonts w:ascii="Times New Roman"/>
          <w:sz w:val="24"/>
          <w:szCs w:val="24"/>
        </w:rPr>
        <w:t xml:space="preserve">, </w:t>
      </w:r>
      <w:r w:rsidRPr="0009325A">
        <w:rPr>
          <w:rFonts w:ascii="Times New Roman"/>
          <w:sz w:val="24"/>
          <w:szCs w:val="24"/>
        </w:rPr>
        <w:t>δ</w:t>
      </w:r>
      <w:r w:rsidRPr="0009325A">
        <w:rPr>
          <w:rFonts w:ascii="Times New Roman"/>
          <w:sz w:val="24"/>
          <w:szCs w:val="24"/>
          <w:vertAlign w:val="superscript"/>
        </w:rPr>
        <w:t>13</w:t>
      </w:r>
      <w:r w:rsidRPr="0009325A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 and </w:t>
      </w:r>
      <w:r w:rsidRPr="0009325A">
        <w:rPr>
          <w:rFonts w:ascii="Times New Roman"/>
          <w:sz w:val="24"/>
          <w:szCs w:val="24"/>
        </w:rPr>
        <w:t>δ</w:t>
      </w:r>
      <w:r>
        <w:rPr>
          <w:rFonts w:ascii="Times New Roman"/>
          <w:sz w:val="24"/>
          <w:szCs w:val="24"/>
          <w:vertAlign w:val="superscript"/>
        </w:rPr>
        <w:t>15</w:t>
      </w:r>
      <w:r>
        <w:rPr>
          <w:rFonts w:ascii="Times New Roman"/>
          <w:sz w:val="24"/>
          <w:szCs w:val="24"/>
        </w:rPr>
        <w:t xml:space="preserve">N values of plankton (i.e. baseline of the food web) have not been investigated over the long-term (i.e. many decades) anywhere in the Arctic, however spatial variability in </w:t>
      </w:r>
      <w:r w:rsidRPr="0009325A">
        <w:rPr>
          <w:rFonts w:ascii="Times New Roman"/>
          <w:sz w:val="24"/>
          <w:szCs w:val="24"/>
        </w:rPr>
        <w:t>δ</w:t>
      </w:r>
      <w:r w:rsidRPr="0009325A">
        <w:rPr>
          <w:rFonts w:ascii="Times New Roman"/>
          <w:sz w:val="24"/>
          <w:szCs w:val="24"/>
          <w:vertAlign w:val="superscript"/>
        </w:rPr>
        <w:t>13</w:t>
      </w:r>
      <w:r w:rsidRPr="0009325A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 is linked to temperature and dissolved CO</w:t>
      </w:r>
      <w:r w:rsidRPr="00817AEB">
        <w:rPr>
          <w:rFonts w:ascii="Times New Roman"/>
          <w:sz w:val="24"/>
          <w:szCs w:val="24"/>
          <w:vertAlign w:val="subscript"/>
        </w:rPr>
        <w:t>2</w:t>
      </w:r>
      <w:r>
        <w:rPr>
          <w:rFonts w:ascii="Times New Roman"/>
          <w:sz w:val="24"/>
          <w:szCs w:val="24"/>
          <w:vertAlign w:val="subscript"/>
        </w:rPr>
        <w:t xml:space="preserve"> </w:t>
      </w:r>
      <w:r>
        <w:rPr>
          <w:rFonts w:ascii="Times New Roman"/>
          <w:sz w:val="24"/>
          <w:szCs w:val="24"/>
        </w:rPr>
        <w:t xml:space="preserve">and for </w:t>
      </w:r>
      <w:r w:rsidRPr="0009325A">
        <w:rPr>
          <w:rFonts w:ascii="Times New Roman"/>
          <w:sz w:val="24"/>
          <w:szCs w:val="24"/>
        </w:rPr>
        <w:t>δ</w:t>
      </w:r>
      <w:r>
        <w:rPr>
          <w:rFonts w:ascii="Times New Roman"/>
          <w:sz w:val="24"/>
          <w:szCs w:val="24"/>
          <w:vertAlign w:val="superscript"/>
        </w:rPr>
        <w:t>15</w:t>
      </w:r>
      <w:r>
        <w:rPr>
          <w:rFonts w:ascii="Times New Roman"/>
          <w:sz w:val="24"/>
          <w:szCs w:val="24"/>
        </w:rPr>
        <w:t>N is linked to nitrogen source, N</w:t>
      </w:r>
      <w:r w:rsidRPr="00817AEB">
        <w:rPr>
          <w:rFonts w:ascii="Times New Roman"/>
          <w:sz w:val="24"/>
          <w:szCs w:val="24"/>
          <w:vertAlign w:val="subscript"/>
        </w:rPr>
        <w:t>2</w:t>
      </w:r>
      <w:r>
        <w:rPr>
          <w:rFonts w:ascii="Times New Roman"/>
          <w:sz w:val="24"/>
          <w:szCs w:val="24"/>
        </w:rPr>
        <w:t xml:space="preserve">-fixation, denitrification, nitrogen assimilation and nutrient pool size </w:t>
      </w:r>
      <w:r w:rsidR="00892EED">
        <w:rPr>
          <w:rFonts w:ascii="Times New Roman"/>
          <w:sz w:val="24"/>
          <w:szCs w:val="24"/>
        </w:rPr>
        <w:t>[3]</w:t>
      </w:r>
      <w:r>
        <w:rPr>
          <w:rFonts w:ascii="Times New Roman"/>
          <w:sz w:val="24"/>
          <w:szCs w:val="24"/>
        </w:rPr>
        <w:t xml:space="preserve">. Visually inspecting the spatial variability of </w:t>
      </w:r>
      <w:r w:rsidRPr="0009325A">
        <w:rPr>
          <w:rFonts w:ascii="Times New Roman"/>
          <w:sz w:val="24"/>
          <w:szCs w:val="24"/>
        </w:rPr>
        <w:t>δ</w:t>
      </w:r>
      <w:r w:rsidRPr="008B11BA">
        <w:rPr>
          <w:rFonts w:ascii="Times New Roman"/>
          <w:sz w:val="24"/>
          <w:szCs w:val="24"/>
          <w:vertAlign w:val="superscript"/>
        </w:rPr>
        <w:t>13</w:t>
      </w:r>
      <w:r>
        <w:rPr>
          <w:rFonts w:ascii="Times New Roman"/>
          <w:sz w:val="24"/>
          <w:szCs w:val="24"/>
        </w:rPr>
        <w:t xml:space="preserve">C-plankton in waters near Cumberland Sound from isoscape maps developed by </w:t>
      </w:r>
      <w:r w:rsidR="00892EED">
        <w:rPr>
          <w:rFonts w:ascii="Times New Roman"/>
          <w:sz w:val="24"/>
          <w:szCs w:val="24"/>
        </w:rPr>
        <w:t>[4]</w:t>
      </w:r>
      <w:r>
        <w:rPr>
          <w:rFonts w:ascii="Times New Roman"/>
          <w:sz w:val="24"/>
          <w:szCs w:val="24"/>
        </w:rPr>
        <w:t xml:space="preserve"> and summer sea temperature gradients in the same area (a change of 1-2°C; </w:t>
      </w:r>
      <w:hyperlink r:id="rId7" w:history="1">
        <w:r w:rsidRPr="00777BB6">
          <w:rPr>
            <w:rStyle w:val="Hyperlink"/>
            <w:rFonts w:ascii="Times New Roman"/>
            <w:sz w:val="24"/>
            <w:szCs w:val="24"/>
          </w:rPr>
          <w:t>https://www.seatemperature.org/</w:t>
        </w:r>
      </w:hyperlink>
      <w:r>
        <w:rPr>
          <w:rFonts w:ascii="Times New Roman"/>
          <w:sz w:val="24"/>
          <w:szCs w:val="24"/>
        </w:rPr>
        <w:t xml:space="preserve">), </w:t>
      </w:r>
      <w:r w:rsidRPr="0009325A">
        <w:rPr>
          <w:rFonts w:ascii="Times New Roman"/>
          <w:sz w:val="24"/>
          <w:szCs w:val="24"/>
        </w:rPr>
        <w:t>δ</w:t>
      </w:r>
      <w:r w:rsidRPr="008B11BA">
        <w:rPr>
          <w:rFonts w:ascii="Times New Roman"/>
          <w:sz w:val="24"/>
          <w:szCs w:val="24"/>
          <w:vertAlign w:val="superscript"/>
        </w:rPr>
        <w:t>13</w:t>
      </w:r>
      <w:r>
        <w:rPr>
          <w:rFonts w:ascii="Times New Roman"/>
          <w:sz w:val="24"/>
          <w:szCs w:val="24"/>
        </w:rPr>
        <w:t>C-plankton remained relatively consistent (~ -22.5‰). Therefore, a 1.</w:t>
      </w:r>
      <w:r w:rsidR="00FB107F">
        <w:rPr>
          <w:rFonts w:ascii="Times New Roman"/>
          <w:sz w:val="24"/>
          <w:szCs w:val="24"/>
        </w:rPr>
        <w:t>0</w:t>
      </w:r>
      <w:r>
        <w:rPr>
          <w:rFonts w:ascii="Times New Roman"/>
          <w:sz w:val="24"/>
          <w:szCs w:val="24"/>
        </w:rPr>
        <w:t xml:space="preserve">°C change in sea surface temperature within Cumberland Sound over the </w:t>
      </w:r>
      <w:r w:rsidR="002C4DB9">
        <w:rPr>
          <w:rFonts w:ascii="Times New Roman"/>
          <w:sz w:val="24"/>
          <w:szCs w:val="24"/>
        </w:rPr>
        <w:t>22</w:t>
      </w:r>
      <w:r>
        <w:rPr>
          <w:rFonts w:ascii="Times New Roman"/>
          <w:sz w:val="24"/>
          <w:szCs w:val="24"/>
        </w:rPr>
        <w:t xml:space="preserve">-yr study period would likely have minimal influence on </w:t>
      </w:r>
      <w:r w:rsidRPr="0009325A">
        <w:rPr>
          <w:rFonts w:ascii="Times New Roman"/>
          <w:sz w:val="24"/>
          <w:szCs w:val="24"/>
        </w:rPr>
        <w:t>δ</w:t>
      </w:r>
      <w:r w:rsidRPr="008B11BA">
        <w:rPr>
          <w:rFonts w:ascii="Times New Roman"/>
          <w:sz w:val="24"/>
          <w:szCs w:val="24"/>
          <w:vertAlign w:val="superscript"/>
        </w:rPr>
        <w:t>13</w:t>
      </w:r>
      <w:r>
        <w:rPr>
          <w:rFonts w:ascii="Times New Roman"/>
          <w:sz w:val="24"/>
          <w:szCs w:val="24"/>
        </w:rPr>
        <w:t>C-plankton values. Fu</w:t>
      </w:r>
      <w:r w:rsidRPr="00642FF4">
        <w:rPr>
          <w:rFonts w:ascii="Times New Roman"/>
          <w:sz w:val="24"/>
          <w:szCs w:val="24"/>
        </w:rPr>
        <w:t>rthermore, in Igloolik, Nunavut, Canada (</w:t>
      </w:r>
      <w:r w:rsidRPr="00642FF4">
        <w:rPr>
          <w:rStyle w:val="latitude"/>
          <w:rFonts w:ascii="Times New Roman"/>
          <w:sz w:val="24"/>
          <w:szCs w:val="24"/>
        </w:rPr>
        <w:t>69°22′34″N</w:t>
      </w:r>
      <w:r w:rsidRPr="00642FF4">
        <w:rPr>
          <w:rStyle w:val="geo-dms"/>
          <w:rFonts w:ascii="Times New Roman"/>
          <w:sz w:val="24"/>
          <w:szCs w:val="24"/>
        </w:rPr>
        <w:t xml:space="preserve"> </w:t>
      </w:r>
      <w:r w:rsidRPr="00642FF4">
        <w:rPr>
          <w:rStyle w:val="longitude"/>
          <w:rFonts w:ascii="Times New Roman"/>
          <w:sz w:val="24"/>
          <w:szCs w:val="24"/>
        </w:rPr>
        <w:t>081°47′58″W</w:t>
      </w:r>
      <w:r w:rsidRPr="00642FF4">
        <w:rPr>
          <w:rFonts w:ascii="Times New Roman"/>
          <w:sz w:val="24"/>
          <w:szCs w:val="24"/>
        </w:rPr>
        <w:t xml:space="preserve">), </w:t>
      </w:r>
      <w:r>
        <w:rPr>
          <w:rFonts w:ascii="Times New Roman"/>
          <w:sz w:val="24"/>
          <w:szCs w:val="24"/>
        </w:rPr>
        <w:t>located at a</w:t>
      </w:r>
      <w:r w:rsidRPr="00642FF4">
        <w:rPr>
          <w:rFonts w:ascii="Times New Roman"/>
          <w:sz w:val="24"/>
          <w:szCs w:val="24"/>
        </w:rPr>
        <w:t xml:space="preserve"> similar </w:t>
      </w:r>
      <w:r>
        <w:rPr>
          <w:rFonts w:ascii="Times New Roman"/>
          <w:sz w:val="24"/>
          <w:szCs w:val="24"/>
        </w:rPr>
        <w:t xml:space="preserve">latitude, the </w:t>
      </w:r>
      <w:r w:rsidRPr="0009325A">
        <w:rPr>
          <w:rFonts w:ascii="Times New Roman"/>
          <w:sz w:val="24"/>
          <w:szCs w:val="24"/>
        </w:rPr>
        <w:t>δ</w:t>
      </w:r>
      <w:r>
        <w:rPr>
          <w:rFonts w:ascii="Times New Roman"/>
          <w:sz w:val="24"/>
          <w:szCs w:val="24"/>
          <w:vertAlign w:val="superscript"/>
        </w:rPr>
        <w:t>15</w:t>
      </w:r>
      <w:r>
        <w:rPr>
          <w:rFonts w:ascii="Times New Roman"/>
          <w:sz w:val="24"/>
          <w:szCs w:val="24"/>
        </w:rPr>
        <w:t xml:space="preserve">N of phenylalanine of walrus </w:t>
      </w:r>
      <w:r w:rsidR="003D2A7B">
        <w:rPr>
          <w:rFonts w:ascii="Times New Roman"/>
          <w:sz w:val="24"/>
          <w:szCs w:val="24"/>
        </w:rPr>
        <w:t>(</w:t>
      </w:r>
      <w:r w:rsidR="003D2A7B" w:rsidRPr="003D2A7B">
        <w:rPr>
          <w:rFonts w:ascii="Times New Roman"/>
          <w:i/>
          <w:sz w:val="24"/>
          <w:szCs w:val="24"/>
        </w:rPr>
        <w:t>Odobenus rosmarus rosmarus</w:t>
      </w:r>
      <w:r w:rsidR="003D2A7B">
        <w:rPr>
          <w:rFonts w:ascii="Times New Roman"/>
          <w:sz w:val="24"/>
          <w:szCs w:val="24"/>
        </w:rPr>
        <w:t xml:space="preserve">) </w:t>
      </w:r>
      <w:r>
        <w:rPr>
          <w:rFonts w:ascii="Times New Roman"/>
          <w:sz w:val="24"/>
          <w:szCs w:val="24"/>
        </w:rPr>
        <w:t xml:space="preserve">muscle tissue did not significantly change over a 27-yr period (Yurkowski, unpubl. data). Phenylalanine is a source amino acid which does not undergo trophic fractionation, and thus represents the baseline </w:t>
      </w:r>
      <w:r w:rsidR="00892EED">
        <w:rPr>
          <w:rFonts w:ascii="Times New Roman"/>
          <w:sz w:val="24"/>
          <w:szCs w:val="24"/>
        </w:rPr>
        <w:t>[5]</w:t>
      </w:r>
      <w:r>
        <w:rPr>
          <w:rFonts w:ascii="Times New Roman"/>
          <w:sz w:val="24"/>
          <w:szCs w:val="24"/>
        </w:rPr>
        <w:t>. The walrus population within this area also has a restricted distribution.</w:t>
      </w:r>
    </w:p>
    <w:p w14:paraId="3179B5A6" w14:textId="01C24DC5" w:rsidR="008E328D" w:rsidRDefault="008E328D">
      <w:pPr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Results </w:t>
      </w:r>
      <w:r w:rsidR="004A6286">
        <w:rPr>
          <w:rFonts w:ascii="Times New Roman"/>
          <w:b/>
          <w:sz w:val="24"/>
          <w:szCs w:val="24"/>
          <w:u w:val="single"/>
        </w:rPr>
        <w:t>of</w:t>
      </w:r>
      <w:r>
        <w:rPr>
          <w:rFonts w:ascii="Times New Roman"/>
          <w:b/>
          <w:sz w:val="24"/>
          <w:szCs w:val="24"/>
          <w:u w:val="single"/>
        </w:rPr>
        <w:t xml:space="preserve"> dietary, isotopic niche and community metrics from 2007-2012</w:t>
      </w:r>
    </w:p>
    <w:p w14:paraId="155C546A" w14:textId="5ACAB98C" w:rsidR="00FA30D1" w:rsidRPr="00FA30D1" w:rsidRDefault="00FA30D1">
      <w:pPr>
        <w:rPr>
          <w:rFonts w:ascii="Times New Roman"/>
          <w:i/>
          <w:sz w:val="24"/>
          <w:szCs w:val="24"/>
        </w:rPr>
      </w:pPr>
      <w:r w:rsidRPr="00FA30D1">
        <w:rPr>
          <w:rFonts w:ascii="Times New Roman"/>
          <w:i/>
          <w:sz w:val="24"/>
          <w:szCs w:val="24"/>
        </w:rPr>
        <w:t>Stable isotope mixing models:</w:t>
      </w:r>
    </w:p>
    <w:p w14:paraId="7815DB0F" w14:textId="26ECE1DA" w:rsidR="00FA30D1" w:rsidRDefault="00423A4F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Stable isotope mixing model results from 2007-2012 revealed that median contributions to Cumberland Sound beluga whale and ringed seal diet were similar to results from 2005-2012. In the 2007-2012 time period, beluga whale diet consisted of forage fish (43%; 95% </w:t>
      </w:r>
      <w:r w:rsidR="00AC5183">
        <w:rPr>
          <w:rFonts w:ascii="Times New Roman"/>
          <w:sz w:val="24"/>
          <w:szCs w:val="24"/>
        </w:rPr>
        <w:t>Bayesian credible</w:t>
      </w:r>
      <w:r>
        <w:rPr>
          <w:rFonts w:ascii="Times New Roman"/>
          <w:sz w:val="24"/>
          <w:szCs w:val="24"/>
        </w:rPr>
        <w:t xml:space="preserve"> interval (15-70)</w:t>
      </w:r>
      <w:r w:rsidR="00AC5183">
        <w:rPr>
          <w:rFonts w:ascii="Times New Roman"/>
          <w:sz w:val="24"/>
          <w:szCs w:val="24"/>
        </w:rPr>
        <w:t xml:space="preserve">, Greenland halibut (38%; 20-55) and squid (13%; 0-28). Ringed seal diet consisted of squid (50%; 38-63) and forage fish (44%; 26-59). </w:t>
      </w:r>
      <w:r w:rsidR="00A244DD">
        <w:rPr>
          <w:rFonts w:ascii="Times New Roman"/>
          <w:sz w:val="24"/>
          <w:szCs w:val="24"/>
        </w:rPr>
        <w:t xml:space="preserve">From 2005-2012, beluga whale diet consisted of forage fish (35%; 3-56), Greenland halibut (42%; 27-63) and squid (14%; 0-31). </w:t>
      </w:r>
      <w:r w:rsidR="00BC51EE">
        <w:rPr>
          <w:rFonts w:ascii="Times New Roman"/>
          <w:sz w:val="24"/>
          <w:szCs w:val="24"/>
        </w:rPr>
        <w:t>Ringed seal diet was comprised of squid (48%; 39-58) and forage fish (49%; 3</w:t>
      </w:r>
      <w:r w:rsidR="008E7649">
        <w:rPr>
          <w:rFonts w:ascii="Times New Roman"/>
          <w:sz w:val="24"/>
          <w:szCs w:val="24"/>
        </w:rPr>
        <w:t>4</w:t>
      </w:r>
      <w:r w:rsidR="00BC51EE">
        <w:rPr>
          <w:rFonts w:ascii="Times New Roman"/>
          <w:sz w:val="24"/>
          <w:szCs w:val="24"/>
        </w:rPr>
        <w:t>-60).</w:t>
      </w:r>
    </w:p>
    <w:p w14:paraId="78E03038" w14:textId="0615A944" w:rsidR="00FA30D1" w:rsidRPr="00FA30D1" w:rsidRDefault="00FA30D1">
      <w:pPr>
        <w:rPr>
          <w:rFonts w:ascii="Times New Roman"/>
          <w:i/>
          <w:sz w:val="24"/>
          <w:szCs w:val="24"/>
        </w:rPr>
      </w:pPr>
      <w:r w:rsidRPr="00FA30D1">
        <w:rPr>
          <w:rFonts w:ascii="Times New Roman"/>
          <w:i/>
          <w:sz w:val="24"/>
          <w:szCs w:val="24"/>
        </w:rPr>
        <w:lastRenderedPageBreak/>
        <w:t>Isotopic niche size:</w:t>
      </w:r>
    </w:p>
    <w:p w14:paraId="34D23213" w14:textId="77777777" w:rsidR="00FA30D1" w:rsidRDefault="00AC5183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From 2007-2012, the SEA</w:t>
      </w:r>
      <w:r w:rsidRPr="00AC5183">
        <w:rPr>
          <w:rFonts w:ascii="Times New Roman"/>
          <w:sz w:val="24"/>
          <w:szCs w:val="24"/>
          <w:vertAlign w:val="subscript"/>
        </w:rPr>
        <w:t>B</w:t>
      </w:r>
      <w:r>
        <w:rPr>
          <w:rFonts w:ascii="Times New Roman"/>
          <w:sz w:val="24"/>
          <w:szCs w:val="24"/>
          <w:vertAlign w:val="subscript"/>
        </w:rPr>
        <w:t xml:space="preserve"> </w:t>
      </w:r>
      <w:r>
        <w:rPr>
          <w:rFonts w:ascii="Times New Roman"/>
          <w:sz w:val="24"/>
          <w:szCs w:val="24"/>
        </w:rPr>
        <w:t>for beluga whales and ringed seals were 0.69 (0.36-1.18) and 1.21 (0.82-1.71), respectively. Comparably, from 2005-2012 the SEA</w:t>
      </w:r>
      <w:r w:rsidRPr="00AC5183">
        <w:rPr>
          <w:rFonts w:ascii="Times New Roman"/>
          <w:sz w:val="24"/>
          <w:szCs w:val="24"/>
          <w:vertAlign w:val="subscript"/>
        </w:rPr>
        <w:t>B</w:t>
      </w:r>
      <w:r>
        <w:rPr>
          <w:rFonts w:ascii="Times New Roman"/>
          <w:sz w:val="24"/>
          <w:szCs w:val="24"/>
          <w:vertAlign w:val="subscript"/>
        </w:rPr>
        <w:t xml:space="preserve"> </w:t>
      </w:r>
      <w:r>
        <w:rPr>
          <w:rFonts w:ascii="Times New Roman"/>
          <w:sz w:val="24"/>
          <w:szCs w:val="24"/>
        </w:rPr>
        <w:t xml:space="preserve">for beluga whales and ringed seals were 0.96 (0.63-1.41) and 1.30 (0.98-1.69), respectively. </w:t>
      </w:r>
    </w:p>
    <w:p w14:paraId="35F22819" w14:textId="5AFB5F84" w:rsidR="00FA30D1" w:rsidRPr="00FA30D1" w:rsidRDefault="00FA30D1">
      <w:pPr>
        <w:rPr>
          <w:rFonts w:ascii="Times New Roman"/>
          <w:i/>
          <w:sz w:val="24"/>
          <w:szCs w:val="24"/>
        </w:rPr>
      </w:pPr>
      <w:r w:rsidRPr="00FA30D1">
        <w:rPr>
          <w:rFonts w:ascii="Times New Roman"/>
          <w:i/>
          <w:sz w:val="24"/>
          <w:szCs w:val="24"/>
        </w:rPr>
        <w:t>Community-wide metrics:</w:t>
      </w:r>
    </w:p>
    <w:p w14:paraId="1A5F400C" w14:textId="0DD9E1BB" w:rsidR="00743936" w:rsidRDefault="00AC5183">
      <w:pPr>
        <w:rPr>
          <w:rFonts w:ascii="Times New Roman"/>
          <w:sz w:val="24"/>
          <w:szCs w:val="24"/>
        </w:rPr>
        <w:sectPr w:rsidR="00743936" w:rsidSect="00846E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  <w:szCs w:val="24"/>
        </w:rPr>
        <w:t>For the community</w:t>
      </w:r>
      <w:r w:rsidR="00FA30D1">
        <w:rPr>
          <w:rFonts w:ascii="Times New Roman"/>
          <w:sz w:val="24"/>
          <w:szCs w:val="24"/>
        </w:rPr>
        <w:t>-wide</w:t>
      </w:r>
      <w:r>
        <w:rPr>
          <w:rFonts w:ascii="Times New Roman"/>
          <w:sz w:val="24"/>
          <w:szCs w:val="24"/>
        </w:rPr>
        <w:t xml:space="preserve"> metrics from 2007-2012, the </w:t>
      </w:r>
      <w:r w:rsidRPr="00FB40EB">
        <w:rPr>
          <w:rFonts w:ascii="Times New Roman"/>
          <w:sz w:val="24"/>
          <w:szCs w:val="24"/>
        </w:rPr>
        <w:t>δ</w:t>
      </w:r>
      <w:r w:rsidRPr="00FB40EB">
        <w:rPr>
          <w:rFonts w:ascii="Times New Roman"/>
          <w:sz w:val="24"/>
          <w:szCs w:val="24"/>
          <w:vertAlign w:val="superscript"/>
        </w:rPr>
        <w:t>13</w:t>
      </w:r>
      <w:r w:rsidRPr="00FB40EB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 range was</w:t>
      </w:r>
      <w:r w:rsidR="00743936">
        <w:rPr>
          <w:rFonts w:ascii="Times New Roman"/>
          <w:sz w:val="24"/>
          <w:szCs w:val="24"/>
        </w:rPr>
        <w:t xml:space="preserve"> 0.91 (0.33-1.55)</w:t>
      </w:r>
      <w:r w:rsidR="0004407F">
        <w:rPr>
          <w:rFonts w:ascii="Times New Roman"/>
          <w:sz w:val="24"/>
          <w:szCs w:val="24"/>
        </w:rPr>
        <w:t xml:space="preserve">, the </w:t>
      </w:r>
      <w:r w:rsidR="0004407F" w:rsidRPr="00FB40EB">
        <w:rPr>
          <w:rFonts w:ascii="Times New Roman"/>
          <w:sz w:val="24"/>
          <w:szCs w:val="24"/>
        </w:rPr>
        <w:t>δ</w:t>
      </w:r>
      <w:r w:rsidR="0004407F" w:rsidRPr="00FB40EB">
        <w:rPr>
          <w:rFonts w:ascii="Times New Roman"/>
          <w:sz w:val="24"/>
          <w:szCs w:val="24"/>
          <w:vertAlign w:val="superscript"/>
        </w:rPr>
        <w:t>1</w:t>
      </w:r>
      <w:r w:rsidR="0004407F">
        <w:rPr>
          <w:rFonts w:ascii="Times New Roman"/>
          <w:sz w:val="24"/>
          <w:szCs w:val="24"/>
          <w:vertAlign w:val="superscript"/>
        </w:rPr>
        <w:t>5</w:t>
      </w:r>
      <w:r w:rsidR="0004407F">
        <w:rPr>
          <w:rFonts w:ascii="Times New Roman"/>
          <w:sz w:val="24"/>
          <w:szCs w:val="24"/>
        </w:rPr>
        <w:t xml:space="preserve">N range was </w:t>
      </w:r>
      <w:r w:rsidR="00743936">
        <w:rPr>
          <w:rFonts w:ascii="Times New Roman"/>
          <w:sz w:val="24"/>
          <w:szCs w:val="24"/>
        </w:rPr>
        <w:t xml:space="preserve">1.98 (1.44-2.48), the mean distance to centroid was 0.94 (0.72-1.16), the mean nearest neighbour distance was 0.68 (0.30-1.06), the standard deviation of nearest neighbour distance was 0.25 (0.00-0.62) and total area was 1.00 (0.30-1.77). Similarly, from 2005-2012, the </w:t>
      </w:r>
      <w:r w:rsidR="00743936" w:rsidRPr="00FB40EB">
        <w:rPr>
          <w:rFonts w:ascii="Times New Roman"/>
          <w:sz w:val="24"/>
          <w:szCs w:val="24"/>
        </w:rPr>
        <w:t>δ</w:t>
      </w:r>
      <w:r w:rsidR="00743936" w:rsidRPr="00FB40EB">
        <w:rPr>
          <w:rFonts w:ascii="Times New Roman"/>
          <w:sz w:val="24"/>
          <w:szCs w:val="24"/>
          <w:vertAlign w:val="superscript"/>
        </w:rPr>
        <w:t>13</w:t>
      </w:r>
      <w:r w:rsidR="00743936" w:rsidRPr="00FB40EB">
        <w:rPr>
          <w:rFonts w:ascii="Times New Roman"/>
          <w:sz w:val="24"/>
          <w:szCs w:val="24"/>
        </w:rPr>
        <w:t>C</w:t>
      </w:r>
      <w:r w:rsidR="00743936">
        <w:rPr>
          <w:rFonts w:ascii="Times New Roman"/>
          <w:sz w:val="24"/>
          <w:szCs w:val="24"/>
        </w:rPr>
        <w:t xml:space="preserve"> range was </w:t>
      </w:r>
      <w:r w:rsidR="004D442E">
        <w:rPr>
          <w:rFonts w:ascii="Times New Roman"/>
          <w:sz w:val="24"/>
          <w:szCs w:val="24"/>
        </w:rPr>
        <w:t>1.11</w:t>
      </w:r>
      <w:r w:rsidR="00743936">
        <w:rPr>
          <w:rFonts w:ascii="Times New Roman"/>
          <w:sz w:val="24"/>
          <w:szCs w:val="24"/>
        </w:rPr>
        <w:t xml:space="preserve"> (0.</w:t>
      </w:r>
      <w:r w:rsidR="004D442E">
        <w:rPr>
          <w:rFonts w:ascii="Times New Roman"/>
          <w:sz w:val="24"/>
          <w:szCs w:val="24"/>
        </w:rPr>
        <w:t>62</w:t>
      </w:r>
      <w:r w:rsidR="00743936">
        <w:rPr>
          <w:rFonts w:ascii="Times New Roman"/>
          <w:sz w:val="24"/>
          <w:szCs w:val="24"/>
        </w:rPr>
        <w:t>-1.</w:t>
      </w:r>
      <w:r w:rsidR="004D442E">
        <w:rPr>
          <w:rFonts w:ascii="Times New Roman"/>
          <w:sz w:val="24"/>
          <w:szCs w:val="24"/>
        </w:rPr>
        <w:t>60</w:t>
      </w:r>
      <w:r w:rsidR="00743936">
        <w:rPr>
          <w:rFonts w:ascii="Times New Roman"/>
          <w:sz w:val="24"/>
          <w:szCs w:val="24"/>
        </w:rPr>
        <w:t xml:space="preserve">), the </w:t>
      </w:r>
      <w:r w:rsidR="00743936" w:rsidRPr="00FB40EB">
        <w:rPr>
          <w:rFonts w:ascii="Times New Roman"/>
          <w:sz w:val="24"/>
          <w:szCs w:val="24"/>
        </w:rPr>
        <w:t>δ</w:t>
      </w:r>
      <w:r w:rsidR="00743936" w:rsidRPr="00FB40EB">
        <w:rPr>
          <w:rFonts w:ascii="Times New Roman"/>
          <w:sz w:val="24"/>
          <w:szCs w:val="24"/>
          <w:vertAlign w:val="superscript"/>
        </w:rPr>
        <w:t>1</w:t>
      </w:r>
      <w:r w:rsidR="00743936">
        <w:rPr>
          <w:rFonts w:ascii="Times New Roman"/>
          <w:sz w:val="24"/>
          <w:szCs w:val="24"/>
          <w:vertAlign w:val="superscript"/>
        </w:rPr>
        <w:t>5</w:t>
      </w:r>
      <w:r w:rsidR="00743936">
        <w:rPr>
          <w:rFonts w:ascii="Times New Roman"/>
          <w:sz w:val="24"/>
          <w:szCs w:val="24"/>
        </w:rPr>
        <w:t xml:space="preserve">N range was </w:t>
      </w:r>
      <w:r w:rsidR="004D442E">
        <w:rPr>
          <w:rFonts w:ascii="Times New Roman"/>
          <w:sz w:val="24"/>
          <w:szCs w:val="24"/>
        </w:rPr>
        <w:t>2.01</w:t>
      </w:r>
      <w:r w:rsidR="00743936">
        <w:rPr>
          <w:rFonts w:ascii="Times New Roman"/>
          <w:sz w:val="24"/>
          <w:szCs w:val="24"/>
        </w:rPr>
        <w:t xml:space="preserve"> (1.</w:t>
      </w:r>
      <w:r w:rsidR="004D442E">
        <w:rPr>
          <w:rFonts w:ascii="Times New Roman"/>
          <w:sz w:val="24"/>
          <w:szCs w:val="24"/>
        </w:rPr>
        <w:t>59</w:t>
      </w:r>
      <w:r w:rsidR="00743936">
        <w:rPr>
          <w:rFonts w:ascii="Times New Roman"/>
          <w:sz w:val="24"/>
          <w:szCs w:val="24"/>
        </w:rPr>
        <w:t>-2.4</w:t>
      </w:r>
      <w:r w:rsidR="004D442E">
        <w:rPr>
          <w:rFonts w:ascii="Times New Roman"/>
          <w:sz w:val="24"/>
          <w:szCs w:val="24"/>
        </w:rPr>
        <w:t>6</w:t>
      </w:r>
      <w:r w:rsidR="00743936">
        <w:rPr>
          <w:rFonts w:ascii="Times New Roman"/>
          <w:sz w:val="24"/>
          <w:szCs w:val="24"/>
        </w:rPr>
        <w:t>), the mean distance to centroid was 0.9</w:t>
      </w:r>
      <w:r w:rsidR="004D442E">
        <w:rPr>
          <w:rFonts w:ascii="Times New Roman"/>
          <w:sz w:val="24"/>
          <w:szCs w:val="24"/>
        </w:rPr>
        <w:t>8</w:t>
      </w:r>
      <w:r w:rsidR="00743936">
        <w:rPr>
          <w:rFonts w:ascii="Times New Roman"/>
          <w:sz w:val="24"/>
          <w:szCs w:val="24"/>
        </w:rPr>
        <w:t xml:space="preserve"> (0.</w:t>
      </w:r>
      <w:r w:rsidR="004D442E">
        <w:rPr>
          <w:rFonts w:ascii="Times New Roman"/>
          <w:sz w:val="24"/>
          <w:szCs w:val="24"/>
        </w:rPr>
        <w:t>81</w:t>
      </w:r>
      <w:r w:rsidR="00743936">
        <w:rPr>
          <w:rFonts w:ascii="Times New Roman"/>
          <w:sz w:val="24"/>
          <w:szCs w:val="24"/>
        </w:rPr>
        <w:t>-1.1</w:t>
      </w:r>
      <w:r w:rsidR="004D442E">
        <w:rPr>
          <w:rFonts w:ascii="Times New Roman"/>
          <w:sz w:val="24"/>
          <w:szCs w:val="24"/>
        </w:rPr>
        <w:t>5</w:t>
      </w:r>
      <w:r w:rsidR="00743936">
        <w:rPr>
          <w:rFonts w:ascii="Times New Roman"/>
          <w:sz w:val="24"/>
          <w:szCs w:val="24"/>
        </w:rPr>
        <w:t>), the mean nearest neighbour distance was 0.6</w:t>
      </w:r>
      <w:r w:rsidR="004D442E">
        <w:rPr>
          <w:rFonts w:ascii="Times New Roman"/>
          <w:sz w:val="24"/>
          <w:szCs w:val="24"/>
        </w:rPr>
        <w:t>7</w:t>
      </w:r>
      <w:r w:rsidR="00743936">
        <w:rPr>
          <w:rFonts w:ascii="Times New Roman"/>
          <w:sz w:val="24"/>
          <w:szCs w:val="24"/>
        </w:rPr>
        <w:t xml:space="preserve"> (0.3</w:t>
      </w:r>
      <w:r w:rsidR="004D442E">
        <w:rPr>
          <w:rFonts w:ascii="Times New Roman"/>
          <w:sz w:val="24"/>
          <w:szCs w:val="24"/>
        </w:rPr>
        <w:t>5</w:t>
      </w:r>
      <w:r w:rsidR="00743936">
        <w:rPr>
          <w:rFonts w:ascii="Times New Roman"/>
          <w:sz w:val="24"/>
          <w:szCs w:val="24"/>
        </w:rPr>
        <w:t>-</w:t>
      </w:r>
      <w:r w:rsidR="004D442E">
        <w:rPr>
          <w:rFonts w:ascii="Times New Roman"/>
          <w:sz w:val="24"/>
          <w:szCs w:val="24"/>
        </w:rPr>
        <w:t>0.97</w:t>
      </w:r>
      <w:r w:rsidR="00743936">
        <w:rPr>
          <w:rFonts w:ascii="Times New Roman"/>
          <w:sz w:val="24"/>
          <w:szCs w:val="24"/>
        </w:rPr>
        <w:t>), the standard deviation of nearest neighbour distance was 0.</w:t>
      </w:r>
      <w:r w:rsidR="004D442E">
        <w:rPr>
          <w:rFonts w:ascii="Times New Roman"/>
          <w:sz w:val="24"/>
          <w:szCs w:val="24"/>
        </w:rPr>
        <w:t>4</w:t>
      </w:r>
      <w:r w:rsidR="00743936">
        <w:rPr>
          <w:rFonts w:ascii="Times New Roman"/>
          <w:sz w:val="24"/>
          <w:szCs w:val="24"/>
        </w:rPr>
        <w:t>5 (0.0</w:t>
      </w:r>
      <w:r w:rsidR="004D442E">
        <w:rPr>
          <w:rFonts w:ascii="Times New Roman"/>
          <w:sz w:val="24"/>
          <w:szCs w:val="24"/>
        </w:rPr>
        <w:t>7</w:t>
      </w:r>
      <w:r w:rsidR="00743936">
        <w:rPr>
          <w:rFonts w:ascii="Times New Roman"/>
          <w:sz w:val="24"/>
          <w:szCs w:val="24"/>
        </w:rPr>
        <w:t>-0.</w:t>
      </w:r>
      <w:r w:rsidR="004D442E">
        <w:rPr>
          <w:rFonts w:ascii="Times New Roman"/>
          <w:sz w:val="24"/>
          <w:szCs w:val="24"/>
        </w:rPr>
        <w:t>80</w:t>
      </w:r>
      <w:r w:rsidR="00743936">
        <w:rPr>
          <w:rFonts w:ascii="Times New Roman"/>
          <w:sz w:val="24"/>
          <w:szCs w:val="24"/>
        </w:rPr>
        <w:t>) and total area was 1.00 (0.</w:t>
      </w:r>
      <w:r w:rsidR="004D442E">
        <w:rPr>
          <w:rFonts w:ascii="Times New Roman"/>
          <w:sz w:val="24"/>
          <w:szCs w:val="24"/>
        </w:rPr>
        <w:t>46</w:t>
      </w:r>
      <w:r w:rsidR="00743936">
        <w:rPr>
          <w:rFonts w:ascii="Times New Roman"/>
          <w:sz w:val="24"/>
          <w:szCs w:val="24"/>
        </w:rPr>
        <w:t>-1.</w:t>
      </w:r>
      <w:r w:rsidR="004D442E">
        <w:rPr>
          <w:rFonts w:ascii="Times New Roman"/>
          <w:sz w:val="24"/>
          <w:szCs w:val="24"/>
        </w:rPr>
        <w:t>58</w:t>
      </w:r>
      <w:r w:rsidR="00743936">
        <w:rPr>
          <w:rFonts w:ascii="Times New Roman"/>
          <w:sz w:val="24"/>
          <w:szCs w:val="24"/>
        </w:rPr>
        <w:t>).</w:t>
      </w:r>
    </w:p>
    <w:p w14:paraId="753265E0" w14:textId="4EA0EB46" w:rsidR="00846E9D" w:rsidRDefault="00846E9D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lastRenderedPageBreak/>
        <w:t>Table S1.</w:t>
      </w:r>
      <w:r>
        <w:rPr>
          <w:rFonts w:ascii="Times New Roman"/>
          <w:sz w:val="24"/>
          <w:szCs w:val="24"/>
        </w:rPr>
        <w:t xml:space="preserve"> Sample sizes (n) and collection years </w:t>
      </w:r>
      <w:r w:rsidR="000103C1">
        <w:rPr>
          <w:rFonts w:ascii="Times New Roman"/>
          <w:sz w:val="24"/>
          <w:szCs w:val="24"/>
        </w:rPr>
        <w:t>of</w:t>
      </w:r>
      <w:r>
        <w:rPr>
          <w:rFonts w:ascii="Times New Roman"/>
          <w:sz w:val="24"/>
          <w:szCs w:val="24"/>
        </w:rPr>
        <w:t xml:space="preserve"> each predator and prey species sampled during the open water period (late May to early November) in Cumberland Sound and western Davis Strait.</w:t>
      </w:r>
      <w:r w:rsidR="003D23B4">
        <w:rPr>
          <w:rFonts w:ascii="Times New Roman"/>
          <w:sz w:val="24"/>
          <w:szCs w:val="24"/>
        </w:rPr>
        <w:t xml:space="preserve"> Note: Arctic cod samples </w:t>
      </w:r>
      <w:r w:rsidR="00A13C19">
        <w:rPr>
          <w:rFonts w:ascii="Times New Roman"/>
          <w:sz w:val="24"/>
          <w:szCs w:val="24"/>
        </w:rPr>
        <w:t>from</w:t>
      </w:r>
      <w:r w:rsidR="003D23B4">
        <w:rPr>
          <w:rFonts w:ascii="Times New Roman"/>
          <w:sz w:val="24"/>
          <w:szCs w:val="24"/>
        </w:rPr>
        <w:t xml:space="preserve"> the 2005-2012 time period were collected in 2004.</w:t>
      </w:r>
    </w:p>
    <w:tbl>
      <w:tblPr>
        <w:tblW w:w="103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1896"/>
        <w:gridCol w:w="2880"/>
        <w:gridCol w:w="546"/>
        <w:gridCol w:w="4584"/>
      </w:tblGrid>
      <w:tr w:rsidR="00846E9D" w:rsidRPr="00846E9D" w14:paraId="562C978B" w14:textId="77777777" w:rsidTr="00846E9D">
        <w:trPr>
          <w:trHeight w:val="330"/>
        </w:trPr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B3D8F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Common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F5621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Species name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C16068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n</w:t>
            </w:r>
          </w:p>
        </w:tc>
        <w:tc>
          <w:tcPr>
            <w:tcW w:w="45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C2B0E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Years collected</w:t>
            </w:r>
          </w:p>
        </w:tc>
      </w:tr>
      <w:tr w:rsidR="00846E9D" w:rsidRPr="00846E9D" w14:paraId="71D4B365" w14:textId="77777777" w:rsidTr="00846E9D">
        <w:trPr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E9913" w14:textId="565B8E38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846E9D">
              <w:rPr>
                <w:rFonts w:ascii="Times New Roman"/>
                <w:b/>
                <w:bCs/>
                <w:color w:val="000000"/>
              </w:rPr>
              <w:t>19</w:t>
            </w:r>
            <w:r w:rsidR="00831DC3">
              <w:rPr>
                <w:rFonts w:ascii="Times New Roman"/>
                <w:b/>
                <w:bCs/>
                <w:color w:val="000000"/>
              </w:rPr>
              <w:t>90</w:t>
            </w:r>
            <w:r w:rsidRPr="00846E9D">
              <w:rPr>
                <w:rFonts w:ascii="Times New Roman"/>
                <w:b/>
                <w:bCs/>
                <w:color w:val="000000"/>
              </w:rPr>
              <w:t xml:space="preserve"> - 2002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31EC2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FBC7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CE4DC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13554467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323FA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7F215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846E9D">
              <w:rPr>
                <w:rFonts w:ascii="Times New Roman"/>
                <w:b/>
                <w:bCs/>
                <w:color w:val="000000"/>
              </w:rPr>
              <w:t>Predator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ED55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A350E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22F82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637EB7AC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DE368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9EB45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36B6A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Beluga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CA7F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Delphinapterus leucas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36CBD" w14:textId="5A6B06B9" w:rsidR="00846E9D" w:rsidRPr="00846E9D" w:rsidRDefault="00831DC3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47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F8499" w14:textId="1A294AD0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1992, 1995, 1997, 2000, 2001, 2002</w:t>
            </w:r>
          </w:p>
        </w:tc>
      </w:tr>
      <w:tr w:rsidR="00846E9D" w:rsidRPr="00846E9D" w14:paraId="7EB4BB83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93660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7C223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F9A93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Ringed seal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9B592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77669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175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661DA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1990, 1992, 1993, 1994, 1996, 1999, 2002</w:t>
            </w:r>
          </w:p>
        </w:tc>
      </w:tr>
      <w:tr w:rsidR="00846E9D" w:rsidRPr="00846E9D" w14:paraId="48D8351C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A9031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A8E87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AAC15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Greenland halibut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86FB5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Reinhardtius hippoglossoides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23091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E2543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1996</w:t>
            </w:r>
          </w:p>
        </w:tc>
      </w:tr>
      <w:tr w:rsidR="00846E9D" w:rsidRPr="00846E9D" w14:paraId="0CC34118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A4EBC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B5AC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6BEB8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Arctic char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F4953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Salvelinus alpinus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CBCA3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72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D77A2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2002</w:t>
            </w:r>
          </w:p>
        </w:tc>
      </w:tr>
      <w:tr w:rsidR="00846E9D" w:rsidRPr="00846E9D" w14:paraId="26956CB4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4F4E2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360AA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846E9D">
              <w:rPr>
                <w:rFonts w:ascii="Times New Roman"/>
                <w:b/>
                <w:bCs/>
                <w:color w:val="000000"/>
              </w:rPr>
              <w:t>Prey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01614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BB935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D0C16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52224ED7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7FE86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C2FF4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84BE1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Squid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3BEF8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 xml:space="preserve">Gonatid sp.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20DD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960C5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2001</w:t>
            </w:r>
          </w:p>
        </w:tc>
      </w:tr>
      <w:tr w:rsidR="00846E9D" w:rsidRPr="00846E9D" w14:paraId="428F3308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76FE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C32E1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8AC4A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Shrimp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688D2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Pandalus borealis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BB688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65BDF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2000, 2001</w:t>
            </w:r>
          </w:p>
        </w:tc>
      </w:tr>
      <w:tr w:rsidR="00846E9D" w:rsidRPr="00846E9D" w14:paraId="74C077F7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59C8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228EE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8F60C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Arctic cod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3FE0E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Boreogadus saida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634CE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494E2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2000, 2001</w:t>
            </w:r>
          </w:p>
        </w:tc>
      </w:tr>
      <w:tr w:rsidR="00846E9D" w:rsidRPr="00846E9D" w14:paraId="23A138A0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7451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1DDF7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D346E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Greenland halibut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148CA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Reinhardtius hippoglossoides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22548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01F6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1996</w:t>
            </w:r>
          </w:p>
        </w:tc>
      </w:tr>
      <w:tr w:rsidR="00846E9D" w:rsidRPr="00846E9D" w14:paraId="0DBA398A" w14:textId="77777777" w:rsidTr="003D23B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60825" w14:textId="77777777" w:rsidR="00846E9D" w:rsidRPr="00846E9D" w:rsidRDefault="00846E9D" w:rsidP="003D23B4">
            <w:pPr>
              <w:spacing w:after="0" w:line="240" w:lineRule="auto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73723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F1B512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C4E81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1C71F8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4D1F65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6FEBBD65" w14:textId="77777777" w:rsidTr="00846E9D">
        <w:trPr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206D" w14:textId="29E4B733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846E9D">
              <w:rPr>
                <w:rFonts w:ascii="Times New Roman"/>
                <w:b/>
                <w:bCs/>
                <w:color w:val="000000"/>
              </w:rPr>
              <w:t>200</w:t>
            </w:r>
            <w:r w:rsidR="00184A6A">
              <w:rPr>
                <w:rFonts w:ascii="Times New Roman"/>
                <w:b/>
                <w:bCs/>
                <w:color w:val="000000"/>
              </w:rPr>
              <w:t>5</w:t>
            </w:r>
            <w:r w:rsidRPr="00846E9D">
              <w:rPr>
                <w:rFonts w:ascii="Times New Roman"/>
                <w:b/>
                <w:bCs/>
                <w:color w:val="000000"/>
              </w:rPr>
              <w:t xml:space="preserve"> - 2012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EBF67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1A90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E9736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08180800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B02C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C51CB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846E9D">
              <w:rPr>
                <w:rFonts w:ascii="Times New Roman"/>
                <w:b/>
                <w:bCs/>
                <w:color w:val="000000"/>
              </w:rPr>
              <w:t>Predator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A890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69DF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5F153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4960960D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78B72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D44AB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02D1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Beluga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D8997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Delphinapterus leucas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44A55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48F0C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2005, 2006, 2007, 2008, 2009</w:t>
            </w:r>
          </w:p>
        </w:tc>
      </w:tr>
      <w:tr w:rsidR="00846E9D" w:rsidRPr="00846E9D" w14:paraId="28A9BD4D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950A2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71D81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3E914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Ringed seal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190FC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Pusa hispida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402E3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53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FBB85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2006, 2007, 2008, 2009, 2010, 2011</w:t>
            </w:r>
          </w:p>
        </w:tc>
      </w:tr>
      <w:tr w:rsidR="00846E9D" w:rsidRPr="00846E9D" w14:paraId="1666EF76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0009A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3CE50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EC003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Greenland halibut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8EA9C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Reinhardtius hippoglossoides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D535C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3F7D0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2012</w:t>
            </w:r>
          </w:p>
        </w:tc>
      </w:tr>
      <w:tr w:rsidR="00846E9D" w:rsidRPr="00846E9D" w14:paraId="35C99297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D2FF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54BF3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F9ED6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Arctic char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D77B8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Salvelinus alpinus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6B0FA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162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0264A" w14:textId="750D19DA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2008, 2011</w:t>
            </w:r>
          </w:p>
        </w:tc>
      </w:tr>
      <w:tr w:rsidR="00846E9D" w:rsidRPr="00846E9D" w14:paraId="2ADBDD57" w14:textId="77777777" w:rsidTr="00846E9D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97D0E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F3F87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846E9D">
              <w:rPr>
                <w:rFonts w:ascii="Times New Roman"/>
                <w:b/>
                <w:bCs/>
                <w:color w:val="000000"/>
              </w:rPr>
              <w:t>Prey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4F5C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5EE66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77261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846E9D" w:rsidRPr="00846E9D" w14:paraId="1FF197FE" w14:textId="77777777" w:rsidTr="00846E9D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71956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3E411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12244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Squid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C461F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Gonatid sp.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AEEAD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32D68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2011</w:t>
            </w:r>
          </w:p>
        </w:tc>
      </w:tr>
      <w:tr w:rsidR="00846E9D" w:rsidRPr="00846E9D" w14:paraId="1174303B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0C15F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701AD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80B1C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Shrimp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F1306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Lebbeus polaris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9D5ED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0AB9B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2007, 2008, 2009</w:t>
            </w:r>
          </w:p>
        </w:tc>
      </w:tr>
      <w:tr w:rsidR="00846E9D" w:rsidRPr="00846E9D" w14:paraId="612A11B9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AEF85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3A1F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9B36F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Arctic cod/capelin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058B68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Boreogadus saida / Mallotus villosus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1E5B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22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60AD3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2004, 2007, 2008, 2009, 2011</w:t>
            </w:r>
          </w:p>
        </w:tc>
      </w:tr>
      <w:tr w:rsidR="00846E9D" w:rsidRPr="00846E9D" w14:paraId="6F6733BC" w14:textId="77777777" w:rsidTr="00846E9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5F6D494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945FA99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CAB8856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Greenland halibut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9A3365" w14:textId="77777777" w:rsidR="00846E9D" w:rsidRPr="00846E9D" w:rsidRDefault="00846E9D" w:rsidP="00846E9D">
            <w:pPr>
              <w:spacing w:after="0" w:line="240" w:lineRule="auto"/>
              <w:rPr>
                <w:rFonts w:ascii="Times New Roman"/>
                <w:i/>
                <w:iCs/>
                <w:color w:val="000000"/>
              </w:rPr>
            </w:pPr>
            <w:r w:rsidRPr="00846E9D">
              <w:rPr>
                <w:rFonts w:ascii="Times New Roman"/>
                <w:i/>
                <w:iCs/>
                <w:color w:val="000000"/>
              </w:rPr>
              <w:t>Reinhardtius hippoglossoides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5B26F9A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9702C7B" w14:textId="77777777" w:rsidR="00846E9D" w:rsidRPr="00846E9D" w:rsidRDefault="00846E9D" w:rsidP="00846E9D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  <w:r w:rsidRPr="00846E9D">
              <w:rPr>
                <w:rFonts w:ascii="Times New Roman"/>
                <w:color w:val="000000"/>
              </w:rPr>
              <w:t>2012</w:t>
            </w:r>
          </w:p>
        </w:tc>
      </w:tr>
    </w:tbl>
    <w:p w14:paraId="6538B752" w14:textId="77777777" w:rsidR="00846E9D" w:rsidRPr="00846E9D" w:rsidRDefault="00846E9D">
      <w:pPr>
        <w:rPr>
          <w:rFonts w:ascii="Times New Roman"/>
          <w:sz w:val="24"/>
          <w:szCs w:val="24"/>
        </w:rPr>
        <w:sectPr w:rsidR="00846E9D" w:rsidRPr="00846E9D" w:rsidSect="00846E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5CF2A0" w14:textId="6225E9A3" w:rsidR="008C6029" w:rsidRDefault="00A81E1C">
      <w:pPr>
        <w:rPr>
          <w:rFonts w:ascii="Times New Roman"/>
          <w:b/>
          <w:sz w:val="24"/>
          <w:szCs w:val="24"/>
        </w:rPr>
      </w:pPr>
      <w:r w:rsidRPr="00A81E1C">
        <w:rPr>
          <w:rFonts w:ascii="Times New Roman"/>
          <w:b/>
          <w:noProof/>
          <w:sz w:val="24"/>
          <w:szCs w:val="24"/>
        </w:rPr>
        <w:lastRenderedPageBreak/>
        <w:drawing>
          <wp:inline distT="0" distB="0" distL="0" distR="0" wp14:anchorId="4ABE3A55" wp14:editId="799A24F4">
            <wp:extent cx="5943600" cy="4420716"/>
            <wp:effectExtent l="0" t="0" r="0" b="0"/>
            <wp:docPr id="1" name="Picture 1" descr="C:\Users\Steve\Desktop\Supp1-Old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Supp1-Old-re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D48B" w14:textId="07C98D66" w:rsidR="009A0088" w:rsidRPr="00C24E21" w:rsidRDefault="008130F2" w:rsidP="009A0088">
      <w:pPr>
        <w:spacing w:after="0" w:line="240" w:lineRule="auto"/>
        <w:rPr>
          <w:rFonts w:ascii="Times New Roman"/>
          <w:sz w:val="24"/>
          <w:szCs w:val="24"/>
        </w:rPr>
      </w:pPr>
      <w:r w:rsidRPr="00D83F57">
        <w:rPr>
          <w:rFonts w:ascii="Times New Roman"/>
          <w:b/>
          <w:sz w:val="24"/>
          <w:szCs w:val="24"/>
        </w:rPr>
        <w:t>Figure S</w:t>
      </w:r>
      <w:r w:rsidR="00A82E62">
        <w:rPr>
          <w:rFonts w:ascii="Times New Roman"/>
          <w:b/>
          <w:sz w:val="24"/>
          <w:szCs w:val="24"/>
        </w:rPr>
        <w:t>1</w:t>
      </w:r>
      <w:r w:rsidRPr="00D83F57">
        <w:rPr>
          <w:rFonts w:ascii="Times New Roman"/>
          <w:b/>
          <w:sz w:val="24"/>
          <w:szCs w:val="24"/>
        </w:rPr>
        <w:t>.</w:t>
      </w:r>
      <w:r w:rsidRPr="00C97B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Stable isotope bi-plot of prey sources from mixing model analysis (mean ± SD) relative to isotopic values of </w:t>
      </w:r>
      <w:r w:rsidR="00C97B83">
        <w:rPr>
          <w:rFonts w:ascii="Times New Roman"/>
          <w:sz w:val="24"/>
          <w:szCs w:val="24"/>
        </w:rPr>
        <w:t>beluga (a), ringed seal (b), Greenland halibut (c) and Arctic char (d) corrected by diet-tissue discrimination factors for the 19</w:t>
      </w:r>
      <w:r w:rsidR="00321AD7">
        <w:rPr>
          <w:rFonts w:ascii="Times New Roman"/>
          <w:sz w:val="24"/>
          <w:szCs w:val="24"/>
        </w:rPr>
        <w:t>90</w:t>
      </w:r>
      <w:r w:rsidR="00C97B83">
        <w:rPr>
          <w:rFonts w:ascii="Times New Roman"/>
          <w:sz w:val="24"/>
          <w:szCs w:val="24"/>
        </w:rPr>
        <w:t>-2002 time period</w:t>
      </w:r>
      <w:r w:rsidR="00B46D05">
        <w:rPr>
          <w:rFonts w:ascii="Times New Roman"/>
          <w:sz w:val="24"/>
          <w:szCs w:val="24"/>
        </w:rPr>
        <w:t xml:space="preserve"> in Cumberland Sound</w:t>
      </w:r>
      <w:r w:rsidR="00C97B83">
        <w:rPr>
          <w:rFonts w:ascii="Times New Roman"/>
          <w:sz w:val="24"/>
          <w:szCs w:val="24"/>
        </w:rPr>
        <w:t>.</w:t>
      </w:r>
      <w:r w:rsidR="009A0088">
        <w:rPr>
          <w:rFonts w:ascii="Times New Roman"/>
          <w:sz w:val="24"/>
          <w:szCs w:val="24"/>
        </w:rPr>
        <w:t xml:space="preserve"> </w:t>
      </w:r>
    </w:p>
    <w:p w14:paraId="13C58B3A" w14:textId="77777777" w:rsidR="00C97B83" w:rsidRPr="00C97B83" w:rsidRDefault="00C97B83">
      <w:pPr>
        <w:rPr>
          <w:rFonts w:ascii="Times New Roman"/>
          <w:sz w:val="24"/>
          <w:szCs w:val="24"/>
        </w:rPr>
      </w:pPr>
    </w:p>
    <w:p w14:paraId="1C7AE26D" w14:textId="77777777" w:rsidR="00C97B83" w:rsidRDefault="00C97B83"/>
    <w:p w14:paraId="314D2579" w14:textId="77777777" w:rsidR="00C97B83" w:rsidRDefault="00C97B83"/>
    <w:p w14:paraId="77A35D6F" w14:textId="77777777" w:rsidR="00C97B83" w:rsidRDefault="00C97B83"/>
    <w:p w14:paraId="51445A4B" w14:textId="77777777" w:rsidR="00C97B83" w:rsidRDefault="00C97B83"/>
    <w:p w14:paraId="4648C989" w14:textId="77777777" w:rsidR="00C97B83" w:rsidRDefault="00C97B83"/>
    <w:p w14:paraId="716861E3" w14:textId="77777777" w:rsidR="00C97B83" w:rsidRDefault="00C97B83"/>
    <w:p w14:paraId="4C80287E" w14:textId="77777777" w:rsidR="00C97B83" w:rsidRDefault="00C97B83"/>
    <w:p w14:paraId="6B9E3A52" w14:textId="77777777" w:rsidR="00C97B83" w:rsidRDefault="00C97B83"/>
    <w:p w14:paraId="30303FBF" w14:textId="77777777" w:rsidR="00C97B83" w:rsidRDefault="00C97B83"/>
    <w:p w14:paraId="460A41DA" w14:textId="3BD55401" w:rsidR="008D20AF" w:rsidRDefault="0095502F">
      <w:pPr>
        <w:rPr>
          <w:rFonts w:ascii="Times New Roman"/>
          <w:sz w:val="24"/>
          <w:szCs w:val="24"/>
        </w:rPr>
      </w:pPr>
      <w:r w:rsidRPr="0095502F">
        <w:rPr>
          <w:rFonts w:ascii="Times New Roman"/>
          <w:b/>
          <w:noProof/>
          <w:sz w:val="24"/>
          <w:szCs w:val="24"/>
        </w:rPr>
        <w:lastRenderedPageBreak/>
        <w:drawing>
          <wp:inline distT="0" distB="0" distL="0" distR="0" wp14:anchorId="0070AE91" wp14:editId="689BA17E">
            <wp:extent cx="6278390" cy="4524375"/>
            <wp:effectExtent l="0" t="0" r="8255" b="0"/>
            <wp:docPr id="7" name="Picture 7" descr="C:\Users\Steve\Desktop\Supp1-New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Supp1-New-re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6" cy="45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0AF" w:rsidRPr="008D20AF">
        <w:rPr>
          <w:rFonts w:ascii="Times New Roman"/>
          <w:b/>
          <w:sz w:val="24"/>
          <w:szCs w:val="24"/>
        </w:rPr>
        <w:t xml:space="preserve"> </w:t>
      </w:r>
      <w:r w:rsidR="00C97B83" w:rsidRPr="00C97B83">
        <w:rPr>
          <w:rFonts w:ascii="Times New Roman"/>
          <w:b/>
          <w:sz w:val="24"/>
          <w:szCs w:val="24"/>
        </w:rPr>
        <w:t>Figure S</w:t>
      </w:r>
      <w:r w:rsidR="00A82E62">
        <w:rPr>
          <w:rFonts w:ascii="Times New Roman"/>
          <w:b/>
          <w:sz w:val="24"/>
          <w:szCs w:val="24"/>
        </w:rPr>
        <w:t>2</w:t>
      </w:r>
      <w:r w:rsidR="00C97B83" w:rsidRPr="00C97B83">
        <w:rPr>
          <w:rFonts w:ascii="Times New Roman"/>
          <w:b/>
          <w:sz w:val="24"/>
          <w:szCs w:val="24"/>
        </w:rPr>
        <w:t>.</w:t>
      </w:r>
      <w:r w:rsidR="00C97B83" w:rsidRPr="00C97B83">
        <w:rPr>
          <w:rFonts w:ascii="Times New Roman"/>
          <w:sz w:val="24"/>
          <w:szCs w:val="24"/>
        </w:rPr>
        <w:t xml:space="preserve"> Stable isotope bi-plot of prey sources from mixing model analysis (mean ± SD) relative to isotopic values of beluga (a), ringed seal (b), Greenland halibut (c) and Arctic char (d) corrected by diet-tissue discrimination factors for the </w:t>
      </w:r>
      <w:r w:rsidR="00C97B83">
        <w:rPr>
          <w:rFonts w:ascii="Times New Roman"/>
          <w:sz w:val="24"/>
          <w:szCs w:val="24"/>
        </w:rPr>
        <w:t>200</w:t>
      </w:r>
      <w:r w:rsidR="00950BB7">
        <w:rPr>
          <w:rFonts w:ascii="Times New Roman"/>
          <w:sz w:val="24"/>
          <w:szCs w:val="24"/>
        </w:rPr>
        <w:t>5</w:t>
      </w:r>
      <w:r w:rsidR="00C97B83">
        <w:rPr>
          <w:rFonts w:ascii="Times New Roman"/>
          <w:sz w:val="24"/>
          <w:szCs w:val="24"/>
        </w:rPr>
        <w:t>-2012</w:t>
      </w:r>
      <w:r w:rsidR="00C97B83" w:rsidRPr="00C97B83">
        <w:rPr>
          <w:rFonts w:ascii="Times New Roman"/>
          <w:sz w:val="24"/>
          <w:szCs w:val="24"/>
        </w:rPr>
        <w:t xml:space="preserve"> time period</w:t>
      </w:r>
      <w:r w:rsidR="00B46D05">
        <w:rPr>
          <w:rFonts w:ascii="Times New Roman"/>
          <w:sz w:val="24"/>
          <w:szCs w:val="24"/>
        </w:rPr>
        <w:t xml:space="preserve"> in Cumberland Sound</w:t>
      </w:r>
      <w:r w:rsidR="00C97B83" w:rsidRPr="00C97B83">
        <w:rPr>
          <w:rFonts w:ascii="Times New Roman"/>
          <w:sz w:val="24"/>
          <w:szCs w:val="24"/>
        </w:rPr>
        <w:t>.</w:t>
      </w:r>
      <w:r w:rsidR="00901DC0" w:rsidRPr="00901DC0">
        <w:rPr>
          <w:rFonts w:ascii="Times New Roman"/>
          <w:sz w:val="24"/>
          <w:szCs w:val="24"/>
        </w:rPr>
        <w:t xml:space="preserve"> </w:t>
      </w:r>
      <w:r w:rsidR="00901DC0">
        <w:rPr>
          <w:rFonts w:ascii="Times New Roman"/>
          <w:sz w:val="24"/>
          <w:szCs w:val="24"/>
        </w:rPr>
        <w:t xml:space="preserve">Codcap: </w:t>
      </w:r>
      <w:r w:rsidR="00061AA1">
        <w:rPr>
          <w:rFonts w:ascii="Times New Roman"/>
          <w:sz w:val="24"/>
          <w:szCs w:val="24"/>
        </w:rPr>
        <w:t xml:space="preserve">combined stable isotope values of </w:t>
      </w:r>
      <w:r w:rsidR="00901DC0">
        <w:rPr>
          <w:rFonts w:ascii="Times New Roman"/>
          <w:sz w:val="24"/>
          <w:szCs w:val="24"/>
        </w:rPr>
        <w:t>Arctic cod/Capelin</w:t>
      </w:r>
    </w:p>
    <w:p w14:paraId="128D1C45" w14:textId="77777777" w:rsidR="00A57E56" w:rsidRDefault="00A57E56">
      <w:pPr>
        <w:rPr>
          <w:rFonts w:ascii="Times New Roman"/>
          <w:sz w:val="24"/>
          <w:szCs w:val="24"/>
        </w:rPr>
      </w:pPr>
    </w:p>
    <w:p w14:paraId="4A822EE6" w14:textId="77777777" w:rsidR="00A57E56" w:rsidRDefault="00A57E56">
      <w:pPr>
        <w:rPr>
          <w:rFonts w:ascii="Times New Roman"/>
          <w:sz w:val="24"/>
          <w:szCs w:val="24"/>
        </w:rPr>
      </w:pPr>
    </w:p>
    <w:p w14:paraId="7F4E115B" w14:textId="77777777" w:rsidR="00A57E56" w:rsidRDefault="00A57E56">
      <w:pPr>
        <w:rPr>
          <w:rFonts w:ascii="Times New Roman"/>
          <w:sz w:val="24"/>
          <w:szCs w:val="24"/>
        </w:rPr>
      </w:pPr>
    </w:p>
    <w:p w14:paraId="70FCCE29" w14:textId="77777777" w:rsidR="00A57E56" w:rsidRDefault="00A57E56">
      <w:pPr>
        <w:rPr>
          <w:rFonts w:ascii="Times New Roman"/>
          <w:sz w:val="24"/>
          <w:szCs w:val="24"/>
        </w:rPr>
      </w:pPr>
    </w:p>
    <w:p w14:paraId="2D7DEFB6" w14:textId="77777777" w:rsidR="00A57E56" w:rsidRDefault="00A57E56">
      <w:pPr>
        <w:rPr>
          <w:rFonts w:ascii="Times New Roman"/>
          <w:sz w:val="24"/>
          <w:szCs w:val="24"/>
        </w:rPr>
      </w:pPr>
    </w:p>
    <w:p w14:paraId="5361D37C" w14:textId="77777777" w:rsidR="00A57E56" w:rsidRDefault="00A57E56">
      <w:pPr>
        <w:rPr>
          <w:rFonts w:ascii="Times New Roman"/>
          <w:sz w:val="24"/>
          <w:szCs w:val="24"/>
        </w:rPr>
      </w:pPr>
    </w:p>
    <w:p w14:paraId="6AFB28FE" w14:textId="77777777" w:rsidR="00A57E56" w:rsidRDefault="00A57E56">
      <w:pPr>
        <w:rPr>
          <w:rFonts w:ascii="Times New Roman"/>
          <w:sz w:val="24"/>
          <w:szCs w:val="24"/>
        </w:rPr>
      </w:pPr>
    </w:p>
    <w:p w14:paraId="40607629" w14:textId="77777777" w:rsidR="00A57E56" w:rsidRDefault="00A57E56">
      <w:pPr>
        <w:rPr>
          <w:rFonts w:ascii="Times New Roman"/>
          <w:sz w:val="24"/>
          <w:szCs w:val="24"/>
        </w:rPr>
      </w:pPr>
    </w:p>
    <w:p w14:paraId="4FA1CD4C" w14:textId="77777777" w:rsidR="00A57E56" w:rsidRDefault="00A57E56">
      <w:pPr>
        <w:rPr>
          <w:rFonts w:ascii="Times New Roman"/>
          <w:sz w:val="24"/>
          <w:szCs w:val="24"/>
        </w:rPr>
      </w:pPr>
    </w:p>
    <w:p w14:paraId="0D4DC49D" w14:textId="77777777" w:rsidR="00A57E56" w:rsidRDefault="007162BB">
      <w:pPr>
        <w:rPr>
          <w:rFonts w:ascii="Times New Roman"/>
          <w:sz w:val="24"/>
          <w:szCs w:val="24"/>
        </w:rPr>
      </w:pPr>
      <w:r w:rsidRPr="007162BB">
        <w:rPr>
          <w:rFonts w:ascii="Times New Roman"/>
          <w:noProof/>
          <w:sz w:val="24"/>
          <w:szCs w:val="24"/>
        </w:rPr>
        <w:lastRenderedPageBreak/>
        <w:drawing>
          <wp:inline distT="0" distB="0" distL="0" distR="0" wp14:anchorId="68307E19" wp14:editId="27626CDC">
            <wp:extent cx="5943600" cy="5055729"/>
            <wp:effectExtent l="0" t="0" r="0" b="0"/>
            <wp:docPr id="2" name="Picture 2" descr="C:\Users\Steve\Desktop\MixingPolygon-OLD-SU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MixingPolygon-OLD-SU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7301" w14:textId="0450398C" w:rsidR="00A57E56" w:rsidRDefault="00A57E56" w:rsidP="00A57E56">
      <w:pPr>
        <w:rPr>
          <w:rFonts w:ascii="Times New Roman"/>
          <w:sz w:val="24"/>
          <w:szCs w:val="24"/>
        </w:rPr>
      </w:pPr>
      <w:r w:rsidRPr="00C97B83">
        <w:rPr>
          <w:rFonts w:ascii="Times New Roman"/>
          <w:b/>
          <w:sz w:val="24"/>
          <w:szCs w:val="24"/>
        </w:rPr>
        <w:t>Figure S</w:t>
      </w:r>
      <w:r w:rsidR="00A82E62">
        <w:rPr>
          <w:rFonts w:ascii="Times New Roman"/>
          <w:b/>
          <w:sz w:val="24"/>
          <w:szCs w:val="24"/>
        </w:rPr>
        <w:t>3</w:t>
      </w:r>
      <w:r w:rsidRPr="00C97B83">
        <w:rPr>
          <w:rFonts w:ascii="Times New Roman"/>
          <w:b/>
          <w:sz w:val="24"/>
          <w:szCs w:val="24"/>
        </w:rPr>
        <w:t>.</w:t>
      </w:r>
      <w:r w:rsidRPr="00C97B83">
        <w:rPr>
          <w:rFonts w:ascii="Times New Roman"/>
          <w:sz w:val="24"/>
          <w:szCs w:val="24"/>
        </w:rPr>
        <w:t xml:space="preserve"> </w:t>
      </w:r>
      <w:r w:rsidR="007162BB">
        <w:rPr>
          <w:rFonts w:ascii="Times New Roman"/>
          <w:sz w:val="24"/>
          <w:szCs w:val="24"/>
        </w:rPr>
        <w:t>Simulated mixing regions</w:t>
      </w:r>
      <w:r w:rsidRPr="00C97B83">
        <w:rPr>
          <w:rFonts w:ascii="Times New Roman"/>
          <w:sz w:val="24"/>
          <w:szCs w:val="24"/>
        </w:rPr>
        <w:t xml:space="preserve"> from mixing model analysis beluga (a), ringed seal (b), Greenland halibut (c) and Arctic char (d) corrected by diet-tissue discrimination factors for the </w:t>
      </w:r>
      <w:r w:rsidR="007162BB">
        <w:rPr>
          <w:rFonts w:ascii="Times New Roman"/>
          <w:sz w:val="24"/>
          <w:szCs w:val="24"/>
        </w:rPr>
        <w:t>19</w:t>
      </w:r>
      <w:r w:rsidR="00A94342">
        <w:rPr>
          <w:rFonts w:ascii="Times New Roman"/>
          <w:sz w:val="24"/>
          <w:szCs w:val="24"/>
        </w:rPr>
        <w:t>90</w:t>
      </w:r>
      <w:r>
        <w:rPr>
          <w:rFonts w:ascii="Times New Roman"/>
          <w:sz w:val="24"/>
          <w:szCs w:val="24"/>
        </w:rPr>
        <w:t>-20</w:t>
      </w:r>
      <w:r w:rsidR="007162BB">
        <w:rPr>
          <w:rFonts w:ascii="Times New Roman"/>
          <w:sz w:val="24"/>
          <w:szCs w:val="24"/>
        </w:rPr>
        <w:t>0</w:t>
      </w:r>
      <w:r>
        <w:rPr>
          <w:rFonts w:ascii="Times New Roman"/>
          <w:sz w:val="24"/>
          <w:szCs w:val="24"/>
        </w:rPr>
        <w:t>2</w:t>
      </w:r>
      <w:r w:rsidRPr="00C97B83">
        <w:rPr>
          <w:rFonts w:ascii="Times New Roman"/>
          <w:sz w:val="24"/>
          <w:szCs w:val="24"/>
        </w:rPr>
        <w:t xml:space="preserve"> time period</w:t>
      </w:r>
      <w:r>
        <w:rPr>
          <w:rFonts w:ascii="Times New Roman"/>
          <w:sz w:val="24"/>
          <w:szCs w:val="24"/>
        </w:rPr>
        <w:t xml:space="preserve"> in Cumberland Sound</w:t>
      </w:r>
      <w:r w:rsidRPr="00C97B83">
        <w:rPr>
          <w:rFonts w:ascii="Times New Roman"/>
          <w:sz w:val="24"/>
          <w:szCs w:val="24"/>
        </w:rPr>
        <w:t>.</w:t>
      </w:r>
      <w:r w:rsidRPr="00901DC0">
        <w:rPr>
          <w:rFonts w:ascii="Times New Roman"/>
          <w:sz w:val="24"/>
          <w:szCs w:val="24"/>
        </w:rPr>
        <w:t xml:space="preserve"> </w:t>
      </w:r>
      <w:r w:rsidR="007D5A9D">
        <w:rPr>
          <w:rFonts w:ascii="Times New Roman"/>
          <w:sz w:val="24"/>
          <w:szCs w:val="24"/>
        </w:rPr>
        <w:t>Probability contours from the 5% (dark blue) to 100% (red) are shown.</w:t>
      </w:r>
    </w:p>
    <w:p w14:paraId="7054E180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035BDA53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75D34823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45836A70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5D97311D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0C440AFE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29666381" w14:textId="77777777" w:rsidR="009F06C1" w:rsidRDefault="009F06C1" w:rsidP="00A57E56">
      <w:pPr>
        <w:rPr>
          <w:rFonts w:ascii="Times New Roman"/>
          <w:sz w:val="24"/>
          <w:szCs w:val="24"/>
        </w:rPr>
      </w:pPr>
    </w:p>
    <w:p w14:paraId="58040C4D" w14:textId="77777777" w:rsidR="009F06C1" w:rsidRDefault="009F06C1" w:rsidP="00A57E56">
      <w:pPr>
        <w:rPr>
          <w:rFonts w:ascii="Times New Roman"/>
          <w:sz w:val="24"/>
          <w:szCs w:val="24"/>
        </w:rPr>
      </w:pPr>
      <w:r w:rsidRPr="009F06C1">
        <w:rPr>
          <w:rFonts w:ascii="Times New Roman"/>
          <w:noProof/>
          <w:sz w:val="24"/>
          <w:szCs w:val="24"/>
        </w:rPr>
        <w:lastRenderedPageBreak/>
        <w:drawing>
          <wp:inline distT="0" distB="0" distL="0" distR="0" wp14:anchorId="05F6FD5B" wp14:editId="6F623FD5">
            <wp:extent cx="6381115" cy="4905375"/>
            <wp:effectExtent l="0" t="0" r="635" b="9525"/>
            <wp:docPr id="4" name="Picture 4" descr="C:\Users\Steve\Desktop\Mixing Model simulation\MixingPolygon-NEW-SU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Desktop\Mixing Model simulation\MixingPolygon-NEW-SU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60" cy="49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C7E8" w14:textId="19784BB4" w:rsidR="00E53115" w:rsidRDefault="00E53115" w:rsidP="00E53115">
      <w:pPr>
        <w:rPr>
          <w:rFonts w:ascii="Times New Roman"/>
          <w:sz w:val="24"/>
          <w:szCs w:val="24"/>
        </w:rPr>
      </w:pPr>
      <w:r w:rsidRPr="00C97B83">
        <w:rPr>
          <w:rFonts w:ascii="Times New Roman"/>
          <w:b/>
          <w:sz w:val="24"/>
          <w:szCs w:val="24"/>
        </w:rPr>
        <w:t>Figure S</w:t>
      </w:r>
      <w:r w:rsidR="00A82E62">
        <w:rPr>
          <w:rFonts w:ascii="Times New Roman"/>
          <w:b/>
          <w:sz w:val="24"/>
          <w:szCs w:val="24"/>
        </w:rPr>
        <w:t>4</w:t>
      </w:r>
      <w:r w:rsidRPr="00C97B83">
        <w:rPr>
          <w:rFonts w:ascii="Times New Roman"/>
          <w:b/>
          <w:sz w:val="24"/>
          <w:szCs w:val="24"/>
        </w:rPr>
        <w:t>.</w:t>
      </w:r>
      <w:r w:rsidRPr="00C97B8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Simulated mixing regions</w:t>
      </w:r>
      <w:r w:rsidRPr="00C97B83">
        <w:rPr>
          <w:rFonts w:ascii="Times New Roman"/>
          <w:sz w:val="24"/>
          <w:szCs w:val="24"/>
        </w:rPr>
        <w:t xml:space="preserve"> from mixing model analysis beluga (a), ringed seal (b), Greenland halibut (c) and Arctic char (d) corrected by diet-tissue discrimination factors for the </w:t>
      </w:r>
      <w:r>
        <w:rPr>
          <w:rFonts w:ascii="Times New Roman"/>
          <w:sz w:val="24"/>
          <w:szCs w:val="24"/>
        </w:rPr>
        <w:t>200</w:t>
      </w:r>
      <w:r w:rsidR="00950BB7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-2012</w:t>
      </w:r>
      <w:r w:rsidRPr="00C97B83">
        <w:rPr>
          <w:rFonts w:ascii="Times New Roman"/>
          <w:sz w:val="24"/>
          <w:szCs w:val="24"/>
        </w:rPr>
        <w:t xml:space="preserve"> time period</w:t>
      </w:r>
      <w:r>
        <w:rPr>
          <w:rFonts w:ascii="Times New Roman"/>
          <w:sz w:val="24"/>
          <w:szCs w:val="24"/>
        </w:rPr>
        <w:t xml:space="preserve"> in Cumberland Sound</w:t>
      </w:r>
      <w:r w:rsidRPr="00C97B83">
        <w:rPr>
          <w:rFonts w:ascii="Times New Roman"/>
          <w:sz w:val="24"/>
          <w:szCs w:val="24"/>
        </w:rPr>
        <w:t>.</w:t>
      </w:r>
      <w:r w:rsidRPr="00901DC0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Probability contours from the 5% (dark blue) to 100% (red) are shown.</w:t>
      </w:r>
    </w:p>
    <w:p w14:paraId="1EF9D245" w14:textId="1552BEC1" w:rsidR="0074320C" w:rsidRDefault="00A82E62" w:rsidP="00E53115">
      <w:pPr>
        <w:rPr>
          <w:rFonts w:asci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6B339B" wp14:editId="2CA7B11A">
            <wp:extent cx="4714875" cy="59326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elin-sea-stoma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853" cy="59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12C6" w14:textId="23BB99AD" w:rsidR="00A82E62" w:rsidRDefault="00A82E62" w:rsidP="00A82E62">
      <w:r w:rsidRPr="008130F2">
        <w:rPr>
          <w:rFonts w:ascii="Times New Roman"/>
          <w:b/>
          <w:sz w:val="24"/>
          <w:szCs w:val="24"/>
        </w:rPr>
        <w:t xml:space="preserve">Figure </w:t>
      </w:r>
      <w:r>
        <w:rPr>
          <w:rFonts w:ascii="Times New Roman"/>
          <w:b/>
          <w:sz w:val="24"/>
          <w:szCs w:val="24"/>
        </w:rPr>
        <w:t>S5</w:t>
      </w:r>
      <w:r w:rsidRPr="008130F2">
        <w:rPr>
          <w:rFonts w:ascii="Times New Roman"/>
          <w:b/>
          <w:sz w:val="24"/>
          <w:szCs w:val="24"/>
        </w:rPr>
        <w:t>.</w:t>
      </w:r>
      <w:r w:rsidRPr="008130F2">
        <w:rPr>
          <w:rFonts w:ascii="Times New Roman"/>
          <w:sz w:val="24"/>
          <w:szCs w:val="24"/>
        </w:rPr>
        <w:t xml:space="preserve"> Photograph </w:t>
      </w:r>
      <w:r>
        <w:rPr>
          <w:rFonts w:ascii="Times New Roman"/>
          <w:sz w:val="24"/>
          <w:szCs w:val="24"/>
        </w:rPr>
        <w:t>of capelin (</w:t>
      </w:r>
      <w:r w:rsidRPr="00426DEE">
        <w:rPr>
          <w:rFonts w:ascii="Times New Roman"/>
          <w:i/>
          <w:sz w:val="24"/>
          <w:szCs w:val="24"/>
        </w:rPr>
        <w:t>Mallotus villosus</w:t>
      </w:r>
      <w:r>
        <w:rPr>
          <w:rFonts w:ascii="Times New Roman"/>
          <w:sz w:val="24"/>
          <w:szCs w:val="24"/>
        </w:rPr>
        <w:t>) remains from the stomach contents of a ringed seal (</w:t>
      </w:r>
      <w:r w:rsidRPr="00426DEE">
        <w:rPr>
          <w:rFonts w:ascii="Times New Roman"/>
          <w:i/>
          <w:sz w:val="24"/>
          <w:szCs w:val="24"/>
        </w:rPr>
        <w:t>Pusa hispida</w:t>
      </w:r>
      <w:r>
        <w:rPr>
          <w:rFonts w:ascii="Times New Roman"/>
          <w:sz w:val="24"/>
          <w:szCs w:val="24"/>
        </w:rPr>
        <w:t xml:space="preserve">) harvested in near Pangnirtung in Cumberland Sound, Nunavut, Canada in January 2017. Photograph courtesy of Peter Kilabuk. </w:t>
      </w:r>
    </w:p>
    <w:p w14:paraId="4E818BFE" w14:textId="6F033E3D" w:rsidR="00A82E62" w:rsidRDefault="00A82E62" w:rsidP="00E53115">
      <w:pPr>
        <w:rPr>
          <w:rFonts w:ascii="Times New Roman"/>
          <w:sz w:val="24"/>
          <w:szCs w:val="24"/>
        </w:rPr>
      </w:pPr>
    </w:p>
    <w:p w14:paraId="6A77936F" w14:textId="085FEB1C" w:rsidR="00A82E62" w:rsidRDefault="00A82E62" w:rsidP="00E53115">
      <w:pPr>
        <w:rPr>
          <w:rFonts w:ascii="Times New Roman"/>
          <w:sz w:val="24"/>
          <w:szCs w:val="24"/>
        </w:rPr>
      </w:pPr>
    </w:p>
    <w:p w14:paraId="62CB4638" w14:textId="2B51C343" w:rsidR="00A82E62" w:rsidRDefault="00A82E62" w:rsidP="00E53115">
      <w:pPr>
        <w:rPr>
          <w:rFonts w:ascii="Times New Roman"/>
          <w:sz w:val="24"/>
          <w:szCs w:val="24"/>
        </w:rPr>
      </w:pPr>
    </w:p>
    <w:p w14:paraId="7ABCB0E9" w14:textId="33DBD71A" w:rsidR="00A82E62" w:rsidRDefault="00A82E62" w:rsidP="00E53115">
      <w:pPr>
        <w:rPr>
          <w:rFonts w:ascii="Times New Roman"/>
          <w:sz w:val="24"/>
          <w:szCs w:val="24"/>
        </w:rPr>
      </w:pPr>
    </w:p>
    <w:p w14:paraId="13D7CF0C" w14:textId="77777777" w:rsidR="00A82E62" w:rsidRDefault="00A82E62" w:rsidP="00E53115">
      <w:pPr>
        <w:rPr>
          <w:rFonts w:ascii="Times New Roman"/>
          <w:sz w:val="24"/>
          <w:szCs w:val="24"/>
        </w:rPr>
      </w:pPr>
    </w:p>
    <w:p w14:paraId="71046360" w14:textId="77777777" w:rsidR="0074320C" w:rsidRPr="0074320C" w:rsidRDefault="0074320C" w:rsidP="00E53115">
      <w:pPr>
        <w:rPr>
          <w:rFonts w:ascii="Times New Roman"/>
          <w:b/>
          <w:sz w:val="24"/>
          <w:szCs w:val="24"/>
        </w:rPr>
      </w:pPr>
      <w:r w:rsidRPr="0074320C">
        <w:rPr>
          <w:rFonts w:ascii="Times New Roman"/>
          <w:b/>
          <w:sz w:val="24"/>
          <w:szCs w:val="24"/>
        </w:rPr>
        <w:lastRenderedPageBreak/>
        <w:t>References</w:t>
      </w:r>
    </w:p>
    <w:p w14:paraId="50655090" w14:textId="77777777" w:rsidR="00892EED" w:rsidRPr="00892EED" w:rsidRDefault="00892EED" w:rsidP="00892EE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/>
          <w:sz w:val="24"/>
          <w:szCs w:val="24"/>
        </w:rPr>
      </w:pPr>
      <w:r w:rsidRPr="00892EED">
        <w:rPr>
          <w:rFonts w:ascii="Times New Roman"/>
          <w:sz w:val="24"/>
          <w:szCs w:val="24"/>
        </w:rPr>
        <w:t xml:space="preserve">Gruber N, Keeling CD, Bacastow RB, Guenther PR, Lueker TJ, Wahlen M, Meijer HAJ, Mook WG &amp; Stocker TF (1999) Spatiotemporal patterns of carbon-13 in the global surface oceans and the oceanic Suess effect. </w:t>
      </w:r>
      <w:r w:rsidRPr="00892EED">
        <w:rPr>
          <w:rFonts w:ascii="Times New Roman"/>
          <w:i/>
          <w:sz w:val="24"/>
          <w:szCs w:val="24"/>
        </w:rPr>
        <w:t>Global Biogeochem</w:t>
      </w:r>
      <w:r>
        <w:rPr>
          <w:rFonts w:ascii="Times New Roman"/>
          <w:i/>
          <w:sz w:val="24"/>
          <w:szCs w:val="24"/>
        </w:rPr>
        <w:t>. Cyc.</w:t>
      </w:r>
      <w:r w:rsidRPr="00892EED">
        <w:rPr>
          <w:rFonts w:ascii="Times New Roman"/>
          <w:sz w:val="24"/>
          <w:szCs w:val="24"/>
        </w:rPr>
        <w:t xml:space="preserve"> </w:t>
      </w:r>
      <w:r w:rsidRPr="00892EED">
        <w:rPr>
          <w:rFonts w:ascii="Times New Roman"/>
          <w:b/>
          <w:sz w:val="24"/>
          <w:szCs w:val="24"/>
        </w:rPr>
        <w:t>13</w:t>
      </w:r>
      <w:r w:rsidRPr="00892EED">
        <w:rPr>
          <w:rFonts w:ascii="Times New Roman"/>
          <w:sz w:val="24"/>
          <w:szCs w:val="24"/>
        </w:rPr>
        <w:t>, 307–335.</w:t>
      </w:r>
    </w:p>
    <w:p w14:paraId="59D0735C" w14:textId="77777777" w:rsidR="0074320C" w:rsidRDefault="0074320C" w:rsidP="00892EE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/>
          <w:sz w:val="24"/>
          <w:szCs w:val="24"/>
        </w:rPr>
      </w:pPr>
      <w:r w:rsidRPr="00892EED">
        <w:rPr>
          <w:rFonts w:ascii="Times New Roman"/>
          <w:sz w:val="24"/>
          <w:szCs w:val="24"/>
        </w:rPr>
        <w:t xml:space="preserve">Bond AL &amp; Diamond AW (2011) Recent Bayesian stable-isotope mixing models are highly sensitive to variation in discrimination factors. </w:t>
      </w:r>
      <w:r w:rsidR="00892EED">
        <w:rPr>
          <w:rFonts w:ascii="Times New Roman"/>
          <w:i/>
          <w:sz w:val="24"/>
          <w:szCs w:val="24"/>
        </w:rPr>
        <w:t>Ecol. Appl.</w:t>
      </w:r>
      <w:r w:rsidRPr="00892EED">
        <w:rPr>
          <w:rFonts w:ascii="Times New Roman"/>
          <w:sz w:val="24"/>
          <w:szCs w:val="24"/>
        </w:rPr>
        <w:t xml:space="preserve"> </w:t>
      </w:r>
      <w:r w:rsidRPr="00892EED">
        <w:rPr>
          <w:rFonts w:ascii="Times New Roman"/>
          <w:b/>
          <w:sz w:val="24"/>
          <w:szCs w:val="24"/>
        </w:rPr>
        <w:t>21</w:t>
      </w:r>
      <w:r w:rsidRPr="00892EED">
        <w:rPr>
          <w:rFonts w:ascii="Times New Roman"/>
          <w:sz w:val="24"/>
          <w:szCs w:val="24"/>
        </w:rPr>
        <w:t>, 1017–1023.</w:t>
      </w:r>
    </w:p>
    <w:p w14:paraId="2CE68277" w14:textId="77777777" w:rsidR="00892EED" w:rsidRPr="00892EED" w:rsidRDefault="00892EED" w:rsidP="00892EE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/>
          <w:sz w:val="24"/>
          <w:szCs w:val="24"/>
        </w:rPr>
      </w:pPr>
      <w:r w:rsidRPr="00892EED">
        <w:rPr>
          <w:rFonts w:ascii="Times New Roman"/>
          <w:sz w:val="24"/>
          <w:szCs w:val="24"/>
        </w:rPr>
        <w:t xml:space="preserve">Graham BS, Koch PL, Newsome SD, McMahon KW &amp; Aurioles D (2010) Using iscoscapes to trace the movements and foraging behaviour of top predators in oceanic ecosystems. </w:t>
      </w:r>
      <w:r w:rsidRPr="00892EED">
        <w:rPr>
          <w:rFonts w:ascii="Times New Roman"/>
          <w:i/>
          <w:sz w:val="24"/>
          <w:szCs w:val="24"/>
        </w:rPr>
        <w:t>Iscoscapes</w:t>
      </w:r>
      <w:r w:rsidRPr="00892EED">
        <w:rPr>
          <w:rFonts w:ascii="Times New Roman"/>
          <w:sz w:val="24"/>
          <w:szCs w:val="24"/>
        </w:rPr>
        <w:t xml:space="preserve"> 299–318.</w:t>
      </w:r>
    </w:p>
    <w:p w14:paraId="2227D43E" w14:textId="77777777" w:rsidR="00892EED" w:rsidRPr="00892EED" w:rsidRDefault="00892EED" w:rsidP="00892EE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/>
          <w:sz w:val="24"/>
          <w:szCs w:val="24"/>
        </w:rPr>
      </w:pPr>
      <w:r w:rsidRPr="00892EED">
        <w:rPr>
          <w:rFonts w:ascii="Times New Roman"/>
          <w:sz w:val="24"/>
          <w:szCs w:val="24"/>
        </w:rPr>
        <w:t xml:space="preserve">McMahon KW, Hamady LL &amp; Thorrold SR (2013) A review of ecogeochemistry approaches to estimating movements of marine animals. </w:t>
      </w:r>
      <w:r>
        <w:rPr>
          <w:rFonts w:ascii="Times New Roman"/>
          <w:i/>
          <w:sz w:val="24"/>
          <w:szCs w:val="24"/>
        </w:rPr>
        <w:t>Limnol. Oceanogr.</w:t>
      </w:r>
      <w:r w:rsidRPr="00892EED">
        <w:rPr>
          <w:rFonts w:ascii="Times New Roman"/>
          <w:sz w:val="24"/>
          <w:szCs w:val="24"/>
        </w:rPr>
        <w:t xml:space="preserve"> </w:t>
      </w:r>
      <w:r w:rsidRPr="00892EED">
        <w:rPr>
          <w:rFonts w:ascii="Times New Roman"/>
          <w:b/>
          <w:sz w:val="24"/>
          <w:szCs w:val="24"/>
        </w:rPr>
        <w:t>58</w:t>
      </w:r>
      <w:r w:rsidRPr="00892EED">
        <w:rPr>
          <w:rFonts w:ascii="Times New Roman"/>
          <w:sz w:val="24"/>
          <w:szCs w:val="24"/>
        </w:rPr>
        <w:t>, 697–714.</w:t>
      </w:r>
    </w:p>
    <w:p w14:paraId="6D060D29" w14:textId="77777777" w:rsidR="00892EED" w:rsidRPr="00892EED" w:rsidRDefault="00892EED" w:rsidP="00892EE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/>
          <w:sz w:val="24"/>
          <w:szCs w:val="24"/>
        </w:rPr>
      </w:pPr>
      <w:r w:rsidRPr="00892EED">
        <w:rPr>
          <w:rFonts w:ascii="Times New Roman"/>
          <w:sz w:val="24"/>
          <w:szCs w:val="24"/>
        </w:rPr>
        <w:t xml:space="preserve">Chikaraishi Y, Kashiyama Y, Ogawa NO, Kitazoto H, Ohkouchi N (2003) Metabolic control of nitrogen isotopes composition of amino acids in macroalgae and gastropods: implications for aquatic food web studies. </w:t>
      </w:r>
      <w:r>
        <w:rPr>
          <w:rFonts w:ascii="Times New Roman"/>
          <w:i/>
          <w:sz w:val="24"/>
          <w:szCs w:val="24"/>
        </w:rPr>
        <w:t xml:space="preserve">Mar. Ecol. Prog. Ser. </w:t>
      </w:r>
      <w:r w:rsidRPr="00892EED">
        <w:rPr>
          <w:rFonts w:ascii="Times New Roman"/>
          <w:b/>
          <w:sz w:val="24"/>
          <w:szCs w:val="24"/>
        </w:rPr>
        <w:t>342</w:t>
      </w:r>
      <w:r w:rsidRPr="00892EED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 w:rsidRPr="00892EED">
        <w:rPr>
          <w:rFonts w:ascii="Times New Roman"/>
          <w:sz w:val="24"/>
          <w:szCs w:val="24"/>
        </w:rPr>
        <w:t xml:space="preserve">85–90. </w:t>
      </w:r>
    </w:p>
    <w:p w14:paraId="1C33D868" w14:textId="77777777" w:rsidR="00892EED" w:rsidRPr="00892EED" w:rsidRDefault="00892EED" w:rsidP="00892EED">
      <w:pPr>
        <w:pStyle w:val="ListParagraph"/>
        <w:spacing w:after="0" w:line="480" w:lineRule="auto"/>
        <w:rPr>
          <w:rFonts w:ascii="Times New Roman"/>
          <w:sz w:val="24"/>
          <w:szCs w:val="24"/>
        </w:rPr>
      </w:pPr>
    </w:p>
    <w:p w14:paraId="0C01C0A9" w14:textId="77777777" w:rsidR="0074320C" w:rsidRDefault="0074320C" w:rsidP="0074320C">
      <w:pPr>
        <w:spacing w:after="0" w:line="480" w:lineRule="auto"/>
        <w:ind w:left="720" w:hanging="720"/>
        <w:rPr>
          <w:rFonts w:ascii="Times New Roman"/>
          <w:sz w:val="24"/>
          <w:szCs w:val="24"/>
        </w:rPr>
      </w:pPr>
    </w:p>
    <w:p w14:paraId="3A48D3AF" w14:textId="77777777" w:rsidR="0074320C" w:rsidRDefault="0074320C" w:rsidP="00E53115">
      <w:pPr>
        <w:rPr>
          <w:rFonts w:ascii="Times New Roman"/>
          <w:sz w:val="24"/>
          <w:szCs w:val="24"/>
        </w:rPr>
      </w:pPr>
    </w:p>
    <w:p w14:paraId="16EDB492" w14:textId="77777777" w:rsidR="008D20AF" w:rsidRDefault="008D20AF">
      <w:pPr>
        <w:rPr>
          <w:rFonts w:ascii="Times New Roman"/>
          <w:sz w:val="24"/>
          <w:szCs w:val="24"/>
        </w:rPr>
      </w:pPr>
    </w:p>
    <w:p w14:paraId="38351045" w14:textId="77777777" w:rsidR="008D20AF" w:rsidRDefault="008D20AF">
      <w:pPr>
        <w:rPr>
          <w:rFonts w:ascii="Times New Roman"/>
          <w:sz w:val="24"/>
          <w:szCs w:val="24"/>
        </w:rPr>
      </w:pPr>
    </w:p>
    <w:p w14:paraId="66BDE8A0" w14:textId="77777777" w:rsidR="008D20AF" w:rsidRPr="00C97B83" w:rsidRDefault="008D20AF">
      <w:pPr>
        <w:rPr>
          <w:rFonts w:ascii="Times New Roman"/>
          <w:sz w:val="24"/>
          <w:szCs w:val="24"/>
        </w:rPr>
      </w:pPr>
    </w:p>
    <w:sectPr w:rsidR="008D20AF" w:rsidRPr="00C97B83" w:rsidSect="0093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BB9F" w14:textId="77777777" w:rsidR="00FB68F6" w:rsidRDefault="00FB68F6" w:rsidP="008130F2">
      <w:pPr>
        <w:spacing w:after="0" w:line="240" w:lineRule="auto"/>
      </w:pPr>
      <w:r>
        <w:separator/>
      </w:r>
    </w:p>
  </w:endnote>
  <w:endnote w:type="continuationSeparator" w:id="0">
    <w:p w14:paraId="107AACA2" w14:textId="77777777" w:rsidR="00FB68F6" w:rsidRDefault="00FB68F6" w:rsidP="008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90B3" w14:textId="77777777" w:rsidR="00FB68F6" w:rsidRDefault="00FB68F6" w:rsidP="008130F2">
      <w:pPr>
        <w:spacing w:after="0" w:line="240" w:lineRule="auto"/>
      </w:pPr>
      <w:r>
        <w:separator/>
      </w:r>
    </w:p>
  </w:footnote>
  <w:footnote w:type="continuationSeparator" w:id="0">
    <w:p w14:paraId="17994F7F" w14:textId="77777777" w:rsidR="00FB68F6" w:rsidRDefault="00FB68F6" w:rsidP="0081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6089"/>
    <w:multiLevelType w:val="hybridMultilevel"/>
    <w:tmpl w:val="88E43B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83"/>
    <w:rsid w:val="000103C1"/>
    <w:rsid w:val="0004407F"/>
    <w:rsid w:val="00061AA1"/>
    <w:rsid w:val="00083A98"/>
    <w:rsid w:val="0009325A"/>
    <w:rsid w:val="000C20F1"/>
    <w:rsid w:val="001172F9"/>
    <w:rsid w:val="0016539F"/>
    <w:rsid w:val="00172322"/>
    <w:rsid w:val="00184A6A"/>
    <w:rsid w:val="001D376B"/>
    <w:rsid w:val="001E6DC1"/>
    <w:rsid w:val="002015F1"/>
    <w:rsid w:val="0022684F"/>
    <w:rsid w:val="00250F57"/>
    <w:rsid w:val="002C4DB9"/>
    <w:rsid w:val="003153EE"/>
    <w:rsid w:val="00321AD7"/>
    <w:rsid w:val="00351165"/>
    <w:rsid w:val="0036298D"/>
    <w:rsid w:val="00364F93"/>
    <w:rsid w:val="00372A13"/>
    <w:rsid w:val="00374DD4"/>
    <w:rsid w:val="003D23B4"/>
    <w:rsid w:val="003D2A7B"/>
    <w:rsid w:val="00423A4F"/>
    <w:rsid w:val="004277D7"/>
    <w:rsid w:val="004506FF"/>
    <w:rsid w:val="00452475"/>
    <w:rsid w:val="004A6286"/>
    <w:rsid w:val="004D442E"/>
    <w:rsid w:val="00580EAF"/>
    <w:rsid w:val="0059008C"/>
    <w:rsid w:val="005B277B"/>
    <w:rsid w:val="005B37B3"/>
    <w:rsid w:val="00642FF4"/>
    <w:rsid w:val="00675EF9"/>
    <w:rsid w:val="00696E8D"/>
    <w:rsid w:val="00702ED8"/>
    <w:rsid w:val="007162BB"/>
    <w:rsid w:val="0074320C"/>
    <w:rsid w:val="00743936"/>
    <w:rsid w:val="007768C1"/>
    <w:rsid w:val="007A356A"/>
    <w:rsid w:val="007C2510"/>
    <w:rsid w:val="007D5A9D"/>
    <w:rsid w:val="008130F2"/>
    <w:rsid w:val="00814BC9"/>
    <w:rsid w:val="00817AEB"/>
    <w:rsid w:val="00831DC3"/>
    <w:rsid w:val="0084392C"/>
    <w:rsid w:val="00846E9D"/>
    <w:rsid w:val="0085633C"/>
    <w:rsid w:val="00867DDB"/>
    <w:rsid w:val="00876505"/>
    <w:rsid w:val="00892EED"/>
    <w:rsid w:val="008B0535"/>
    <w:rsid w:val="008B11BA"/>
    <w:rsid w:val="008B1DBB"/>
    <w:rsid w:val="008C3D55"/>
    <w:rsid w:val="008C6029"/>
    <w:rsid w:val="008D20AF"/>
    <w:rsid w:val="008E1E9F"/>
    <w:rsid w:val="008E328D"/>
    <w:rsid w:val="008E7649"/>
    <w:rsid w:val="008F6A91"/>
    <w:rsid w:val="00901DC0"/>
    <w:rsid w:val="0093351F"/>
    <w:rsid w:val="0094204C"/>
    <w:rsid w:val="00950BB7"/>
    <w:rsid w:val="0095502F"/>
    <w:rsid w:val="009550DC"/>
    <w:rsid w:val="00993659"/>
    <w:rsid w:val="009A0088"/>
    <w:rsid w:val="009F06C1"/>
    <w:rsid w:val="00A07C0F"/>
    <w:rsid w:val="00A119A7"/>
    <w:rsid w:val="00A13C19"/>
    <w:rsid w:val="00A2182A"/>
    <w:rsid w:val="00A244DD"/>
    <w:rsid w:val="00A57E56"/>
    <w:rsid w:val="00A819B3"/>
    <w:rsid w:val="00A81E1C"/>
    <w:rsid w:val="00A82E62"/>
    <w:rsid w:val="00A94342"/>
    <w:rsid w:val="00AC5183"/>
    <w:rsid w:val="00B133EF"/>
    <w:rsid w:val="00B46D05"/>
    <w:rsid w:val="00B6026F"/>
    <w:rsid w:val="00BB62CE"/>
    <w:rsid w:val="00BC51EE"/>
    <w:rsid w:val="00BC77D4"/>
    <w:rsid w:val="00BD1782"/>
    <w:rsid w:val="00C97477"/>
    <w:rsid w:val="00C97B83"/>
    <w:rsid w:val="00D47E2C"/>
    <w:rsid w:val="00D62936"/>
    <w:rsid w:val="00D83F57"/>
    <w:rsid w:val="00D85C6F"/>
    <w:rsid w:val="00D973D7"/>
    <w:rsid w:val="00DB3F65"/>
    <w:rsid w:val="00DB5FA4"/>
    <w:rsid w:val="00DD214B"/>
    <w:rsid w:val="00DE587D"/>
    <w:rsid w:val="00E42F96"/>
    <w:rsid w:val="00E53115"/>
    <w:rsid w:val="00E55421"/>
    <w:rsid w:val="00EA5B46"/>
    <w:rsid w:val="00F07C59"/>
    <w:rsid w:val="00F23887"/>
    <w:rsid w:val="00F56B06"/>
    <w:rsid w:val="00F8285F"/>
    <w:rsid w:val="00FA30D1"/>
    <w:rsid w:val="00FB107F"/>
    <w:rsid w:val="00FB68F6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7B72"/>
  <w15:chartTrackingRefBased/>
  <w15:docId w15:val="{1C1184F4-155A-410A-BC28-340E2AC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F2"/>
  </w:style>
  <w:style w:type="paragraph" w:styleId="Footer">
    <w:name w:val="footer"/>
    <w:basedOn w:val="Normal"/>
    <w:link w:val="FooterChar"/>
    <w:uiPriority w:val="99"/>
    <w:unhideWhenUsed/>
    <w:rsid w:val="0081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F2"/>
  </w:style>
  <w:style w:type="character" w:styleId="Hyperlink">
    <w:name w:val="Hyperlink"/>
    <w:basedOn w:val="DefaultParagraphFont"/>
    <w:uiPriority w:val="99"/>
    <w:unhideWhenUsed/>
    <w:rsid w:val="009A008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A0088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9A008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11BA"/>
    <w:rPr>
      <w:color w:val="808080"/>
      <w:shd w:val="clear" w:color="auto" w:fill="E6E6E6"/>
    </w:rPr>
  </w:style>
  <w:style w:type="character" w:customStyle="1" w:styleId="plainlinks">
    <w:name w:val="plainlinks"/>
    <w:basedOn w:val="DefaultParagraphFont"/>
    <w:rsid w:val="00642FF4"/>
  </w:style>
  <w:style w:type="character" w:customStyle="1" w:styleId="geo-dms">
    <w:name w:val="geo-dms"/>
    <w:basedOn w:val="DefaultParagraphFont"/>
    <w:rsid w:val="00642FF4"/>
  </w:style>
  <w:style w:type="character" w:customStyle="1" w:styleId="latitude">
    <w:name w:val="latitude"/>
    <w:basedOn w:val="DefaultParagraphFont"/>
    <w:rsid w:val="00642FF4"/>
  </w:style>
  <w:style w:type="character" w:customStyle="1" w:styleId="longitude">
    <w:name w:val="longitude"/>
    <w:basedOn w:val="DefaultParagraphFont"/>
    <w:rsid w:val="00642FF4"/>
  </w:style>
  <w:style w:type="paragraph" w:styleId="ListParagraph">
    <w:name w:val="List Paragraph"/>
    <w:basedOn w:val="Normal"/>
    <w:uiPriority w:val="34"/>
    <w:qFormat/>
    <w:rsid w:val="0089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atemperature.org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Yurkowski</dc:creator>
  <cp:keywords/>
  <dc:description/>
  <cp:lastModifiedBy>David Yurkowski</cp:lastModifiedBy>
  <cp:revision>2</cp:revision>
  <dcterms:created xsi:type="dcterms:W3CDTF">2018-04-05T00:36:00Z</dcterms:created>
  <dcterms:modified xsi:type="dcterms:W3CDTF">2018-04-05T00:36:00Z</dcterms:modified>
</cp:coreProperties>
</file>