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91DF8" w14:textId="32997EC7" w:rsidR="001D7A1F" w:rsidRDefault="001D7A1F" w:rsidP="001D7A1F">
      <w:pPr>
        <w:pStyle w:val="TOC1"/>
      </w:pPr>
      <w:r>
        <w:t>Modelling tropical forest responses to drought and El Ni</w:t>
      </w:r>
      <w:r w:rsidRPr="005353F2">
        <w:t>ñ</w:t>
      </w:r>
      <w:r>
        <w:t>o with a stomatal optimization model based on xylem hydraulics</w:t>
      </w:r>
    </w:p>
    <w:p w14:paraId="5A481959" w14:textId="22CF8F9C" w:rsidR="005353F2" w:rsidRPr="005353F2" w:rsidRDefault="009A668E" w:rsidP="001D7A1F">
      <w:pPr>
        <w:pStyle w:val="TOC1"/>
      </w:pPr>
      <w:r>
        <w:t>APPENDIX</w:t>
      </w:r>
      <w:r w:rsidR="002D2DCC">
        <w:t xml:space="preserve"> CONTENT</w:t>
      </w:r>
    </w:p>
    <w:p w14:paraId="0C733210" w14:textId="5A00C5E2" w:rsidR="00372D79" w:rsidRPr="00AD1B0D" w:rsidRDefault="00372D79" w:rsidP="000779AD">
      <w:pPr>
        <w:spacing w:line="360" w:lineRule="auto"/>
        <w:ind w:right="432"/>
        <w:contextualSpacing/>
        <w:jc w:val="both"/>
        <w:outlineLvl w:val="0"/>
        <w:rPr>
          <w:i/>
        </w:rPr>
      </w:pPr>
      <w:r w:rsidRPr="00AD1B0D">
        <w:rPr>
          <w:i/>
        </w:rPr>
        <w:t>Supplementary Notes:</w:t>
      </w:r>
    </w:p>
    <w:p w14:paraId="1533E6BA" w14:textId="2928BAB2" w:rsidR="001C796D" w:rsidRDefault="00315AFE" w:rsidP="000779AD">
      <w:pPr>
        <w:spacing w:line="360" w:lineRule="auto"/>
        <w:ind w:right="432"/>
        <w:contextualSpacing/>
        <w:jc w:val="both"/>
        <w:outlineLvl w:val="0"/>
        <w:rPr>
          <w:noProof/>
          <w:webHidden/>
        </w:rPr>
      </w:pPr>
      <w:r w:rsidRPr="00AD1B0D">
        <w:rPr>
          <w:rStyle w:val="Hyperlink"/>
          <w:noProof/>
          <w:color w:val="auto"/>
          <w:u w:val="none"/>
        </w:rPr>
        <w:t xml:space="preserve">S1. </w:t>
      </w:r>
      <w:r w:rsidR="00E60DD9" w:rsidRPr="00AD1B0D">
        <w:rPr>
          <w:szCs w:val="24"/>
        </w:rPr>
        <w:t>Photosynthesis model description</w:t>
      </w:r>
      <w:r w:rsidR="00E60DD9" w:rsidRPr="00AD1B0D">
        <w:rPr>
          <w:i/>
          <w:szCs w:val="24"/>
        </w:rPr>
        <w:t>…………………………………………………………………….</w:t>
      </w:r>
      <w:r w:rsidRPr="00AD1B0D">
        <w:rPr>
          <w:noProof/>
          <w:webHidden/>
        </w:rPr>
        <w:t>2</w:t>
      </w:r>
    </w:p>
    <w:p w14:paraId="439AE642" w14:textId="4C3930BB" w:rsidR="00E63F1B" w:rsidRPr="00AD1B0D" w:rsidRDefault="00E63F1B" w:rsidP="00E63F1B">
      <w:pPr>
        <w:pStyle w:val="TOC2"/>
        <w:tabs>
          <w:tab w:val="right" w:leader="dot" w:pos="9350"/>
        </w:tabs>
        <w:ind w:left="0" w:right="432"/>
        <w:contextualSpacing/>
        <w:jc w:val="both"/>
        <w:rPr>
          <w:noProof/>
        </w:rPr>
      </w:pPr>
      <w:r w:rsidRPr="00AD1B0D">
        <w:rPr>
          <w:rStyle w:val="Hyperlink"/>
          <w:noProof/>
          <w:color w:val="auto"/>
          <w:u w:val="none"/>
        </w:rPr>
        <w:t xml:space="preserve">S2. </w:t>
      </w:r>
      <w:r w:rsidRPr="00AD1B0D">
        <w:rPr>
          <w:rFonts w:eastAsiaTheme="minorEastAsia"/>
        </w:rPr>
        <w:t>Calculation of the shape parameter of the xylem vulnerability curve</w:t>
      </w:r>
      <w:r w:rsidRPr="00AD1B0D">
        <w:rPr>
          <w:noProof/>
          <w:webHidden/>
        </w:rPr>
        <w:tab/>
        <w:t>3</w:t>
      </w:r>
    </w:p>
    <w:p w14:paraId="32FDC63F" w14:textId="5DB11C03" w:rsidR="007C5F28" w:rsidRPr="00AD1B0D" w:rsidRDefault="007C5F28" w:rsidP="000779AD">
      <w:pPr>
        <w:pStyle w:val="TOC2"/>
        <w:tabs>
          <w:tab w:val="right" w:leader="dot" w:pos="9350"/>
        </w:tabs>
        <w:ind w:left="0" w:right="432"/>
        <w:contextualSpacing/>
        <w:jc w:val="both"/>
        <w:rPr>
          <w:noProof/>
        </w:rPr>
      </w:pPr>
      <w:r w:rsidRPr="00AD1B0D">
        <w:rPr>
          <w:rStyle w:val="Hyperlink"/>
          <w:noProof/>
          <w:color w:val="auto"/>
          <w:u w:val="none"/>
        </w:rPr>
        <w:t>S</w:t>
      </w:r>
      <w:r w:rsidR="00E63F1B">
        <w:rPr>
          <w:rStyle w:val="Hyperlink"/>
          <w:noProof/>
          <w:color w:val="auto"/>
          <w:u w:val="none"/>
        </w:rPr>
        <w:t>3</w:t>
      </w:r>
      <w:r w:rsidRPr="00AD1B0D">
        <w:rPr>
          <w:rStyle w:val="Hyperlink"/>
          <w:noProof/>
          <w:color w:val="auto"/>
          <w:u w:val="none"/>
        </w:rPr>
        <w:t xml:space="preserve">. </w:t>
      </w:r>
      <w:r w:rsidRPr="00AD1B0D">
        <w:rPr>
          <w:rFonts w:eastAsiaTheme="minorEastAsia"/>
        </w:rPr>
        <w:t>SOX c</w:t>
      </w:r>
      <w:r w:rsidRPr="00AD1B0D">
        <w:rPr>
          <w:bCs/>
        </w:rPr>
        <w:t>ost function details</w:t>
      </w:r>
      <w:r w:rsidRPr="00AD1B0D">
        <w:rPr>
          <w:noProof/>
          <w:webHidden/>
        </w:rPr>
        <w:tab/>
      </w:r>
      <w:r w:rsidR="00E17F32" w:rsidRPr="00AD1B0D">
        <w:rPr>
          <w:noProof/>
          <w:webHidden/>
        </w:rPr>
        <w:t>3</w:t>
      </w:r>
    </w:p>
    <w:p w14:paraId="4CAB26F8" w14:textId="35BA92BC" w:rsidR="007C5F28" w:rsidRPr="00AD1B0D" w:rsidRDefault="00E63F1B" w:rsidP="000779AD">
      <w:pPr>
        <w:pStyle w:val="TOC2"/>
        <w:tabs>
          <w:tab w:val="right" w:leader="dot" w:pos="9350"/>
        </w:tabs>
        <w:ind w:left="0" w:right="432"/>
        <w:contextualSpacing/>
        <w:jc w:val="both"/>
        <w:rPr>
          <w:noProof/>
        </w:rPr>
      </w:pPr>
      <w:r>
        <w:rPr>
          <w:rStyle w:val="Hyperlink"/>
          <w:noProof/>
          <w:color w:val="auto"/>
          <w:u w:val="none"/>
        </w:rPr>
        <w:t>S4</w:t>
      </w:r>
      <w:r w:rsidR="007C5F28" w:rsidRPr="00AD1B0D">
        <w:rPr>
          <w:rStyle w:val="Hyperlink"/>
          <w:noProof/>
          <w:color w:val="auto"/>
          <w:u w:val="none"/>
        </w:rPr>
        <w:t>. Changes in soil hydraulic conductance</w:t>
      </w:r>
      <w:r w:rsidR="007C5F28" w:rsidRPr="00AD1B0D">
        <w:rPr>
          <w:noProof/>
          <w:webHidden/>
        </w:rPr>
        <w:tab/>
      </w:r>
      <w:r>
        <w:rPr>
          <w:noProof/>
          <w:webHidden/>
        </w:rPr>
        <w:t>3</w:t>
      </w:r>
    </w:p>
    <w:p w14:paraId="4EBB60D3" w14:textId="6CB6221D" w:rsidR="007C5F28" w:rsidRDefault="007C5F28" w:rsidP="000779AD">
      <w:pPr>
        <w:pStyle w:val="TOC2"/>
        <w:tabs>
          <w:tab w:val="right" w:leader="dot" w:pos="9350"/>
        </w:tabs>
        <w:ind w:left="0" w:right="432"/>
        <w:contextualSpacing/>
        <w:jc w:val="both"/>
        <w:rPr>
          <w:noProof/>
          <w:webHidden/>
        </w:rPr>
      </w:pPr>
      <w:r w:rsidRPr="00AD1B0D">
        <w:rPr>
          <w:rStyle w:val="Hyperlink"/>
          <w:noProof/>
          <w:color w:val="auto"/>
          <w:u w:val="none"/>
        </w:rPr>
        <w:t>S</w:t>
      </w:r>
      <w:r w:rsidR="00E63F1B">
        <w:rPr>
          <w:rStyle w:val="Hyperlink"/>
          <w:noProof/>
          <w:color w:val="auto"/>
          <w:u w:val="none"/>
        </w:rPr>
        <w:t>5</w:t>
      </w:r>
      <w:r w:rsidR="00CB615C" w:rsidRPr="00AD1B0D">
        <w:rPr>
          <w:rStyle w:val="Hyperlink"/>
          <w:noProof/>
          <w:color w:val="auto"/>
          <w:u w:val="none"/>
        </w:rPr>
        <w:t>.</w:t>
      </w:r>
      <w:r w:rsidRPr="00AD1B0D">
        <w:rPr>
          <w:rStyle w:val="Hyperlink"/>
          <w:noProof/>
          <w:color w:val="auto"/>
          <w:u w:val="none"/>
        </w:rPr>
        <w:t xml:space="preserve"> </w:t>
      </w:r>
      <w:r w:rsidR="00CB615C" w:rsidRPr="00AD1B0D">
        <w:rPr>
          <w:rFonts w:eastAsiaTheme="minorEastAsia"/>
        </w:rPr>
        <w:t>Calculation of plant maximum hydraulic conductance</w:t>
      </w:r>
      <w:r w:rsidRPr="00AD1B0D">
        <w:rPr>
          <w:noProof/>
          <w:webHidden/>
        </w:rPr>
        <w:tab/>
        <w:t>4</w:t>
      </w:r>
    </w:p>
    <w:p w14:paraId="18548985" w14:textId="6986EC1E" w:rsidR="00E63F1B" w:rsidRPr="00AD1B0D" w:rsidRDefault="00E63F1B" w:rsidP="00E63F1B">
      <w:pPr>
        <w:pStyle w:val="TOC2"/>
        <w:tabs>
          <w:tab w:val="right" w:leader="dot" w:pos="9350"/>
        </w:tabs>
        <w:ind w:left="0" w:right="432"/>
        <w:contextualSpacing/>
        <w:jc w:val="both"/>
        <w:rPr>
          <w:noProof/>
        </w:rPr>
      </w:pPr>
      <w:r w:rsidRPr="00AD1B0D">
        <w:rPr>
          <w:rStyle w:val="Hyperlink"/>
          <w:noProof/>
          <w:color w:val="auto"/>
          <w:u w:val="none"/>
        </w:rPr>
        <w:t>S</w:t>
      </w:r>
      <w:r>
        <w:rPr>
          <w:rStyle w:val="Hyperlink"/>
          <w:noProof/>
          <w:color w:val="auto"/>
          <w:u w:val="none"/>
        </w:rPr>
        <w:t>6</w:t>
      </w:r>
      <w:r w:rsidRPr="00AD1B0D">
        <w:rPr>
          <w:rStyle w:val="Hyperlink"/>
          <w:noProof/>
          <w:color w:val="auto"/>
          <w:u w:val="none"/>
        </w:rPr>
        <w:t xml:space="preserve">. </w:t>
      </w:r>
      <w:r w:rsidRPr="00E63F1B">
        <w:rPr>
          <w:bCs/>
        </w:rPr>
        <w:t>Description of the Unified Stomatal Optimisation model</w:t>
      </w:r>
      <w:r w:rsidRPr="00AD1B0D">
        <w:rPr>
          <w:noProof/>
          <w:webHidden/>
        </w:rPr>
        <w:tab/>
      </w:r>
      <w:r>
        <w:rPr>
          <w:noProof/>
          <w:webHidden/>
        </w:rPr>
        <w:t>5</w:t>
      </w:r>
    </w:p>
    <w:p w14:paraId="1139B6D8" w14:textId="7AC7BDA2" w:rsidR="00372D79" w:rsidRPr="00AD1B0D" w:rsidRDefault="00372D79" w:rsidP="000779AD">
      <w:pPr>
        <w:spacing w:line="360" w:lineRule="auto"/>
        <w:ind w:right="432"/>
        <w:contextualSpacing/>
        <w:jc w:val="both"/>
        <w:outlineLvl w:val="0"/>
        <w:rPr>
          <w:i/>
        </w:rPr>
      </w:pPr>
      <w:r w:rsidRPr="00AD1B0D">
        <w:rPr>
          <w:i/>
        </w:rPr>
        <w:t>Supplementary Tables:</w:t>
      </w:r>
    </w:p>
    <w:p w14:paraId="6E283C61" w14:textId="60EC47B4" w:rsidR="00372D79" w:rsidRPr="00AD1B0D" w:rsidRDefault="00372D79" w:rsidP="000779AD">
      <w:pPr>
        <w:spacing w:line="360" w:lineRule="auto"/>
        <w:ind w:right="432"/>
        <w:jc w:val="both"/>
        <w:outlineLvl w:val="0"/>
        <w:rPr>
          <w:i/>
          <w:iCs/>
          <w:szCs w:val="24"/>
        </w:rPr>
      </w:pPr>
      <w:r w:rsidRPr="00AD1B0D">
        <w:rPr>
          <w:rStyle w:val="Hyperlink"/>
          <w:noProof/>
          <w:color w:val="auto"/>
          <w:u w:val="none"/>
        </w:rPr>
        <w:t xml:space="preserve">S1. </w:t>
      </w:r>
      <w:r w:rsidR="00200AD1" w:rsidRPr="00AD1B0D">
        <w:rPr>
          <w:szCs w:val="24"/>
        </w:rPr>
        <w:t xml:space="preserve">Plant inputs used for the </w:t>
      </w:r>
      <w:r w:rsidR="00200AD1" w:rsidRPr="00AD1B0D">
        <w:rPr>
          <w:bCs/>
          <w:szCs w:val="24"/>
        </w:rPr>
        <w:t>Caxiuanã</w:t>
      </w:r>
      <w:r w:rsidR="00200AD1" w:rsidRPr="00AD1B0D">
        <w:rPr>
          <w:szCs w:val="24"/>
        </w:rPr>
        <w:t xml:space="preserve"> National forest site</w:t>
      </w:r>
      <w:r w:rsidRPr="00AD1B0D">
        <w:rPr>
          <w:i/>
          <w:szCs w:val="24"/>
        </w:rPr>
        <w:t>…………………………………………….</w:t>
      </w:r>
      <w:r w:rsidR="00D95C2A" w:rsidRPr="00AD1B0D">
        <w:rPr>
          <w:noProof/>
          <w:webHidden/>
        </w:rPr>
        <w:t>6</w:t>
      </w:r>
    </w:p>
    <w:p w14:paraId="18A1531F" w14:textId="2430F99D" w:rsidR="00372D79" w:rsidRPr="00AD1B0D" w:rsidRDefault="00372D79" w:rsidP="000779AD">
      <w:pPr>
        <w:pStyle w:val="TOC2"/>
        <w:tabs>
          <w:tab w:val="right" w:leader="dot" w:pos="9350"/>
        </w:tabs>
        <w:ind w:left="0" w:right="432"/>
        <w:contextualSpacing/>
        <w:jc w:val="both"/>
        <w:rPr>
          <w:noProof/>
        </w:rPr>
      </w:pPr>
      <w:r w:rsidRPr="00AD1B0D">
        <w:rPr>
          <w:rStyle w:val="Hyperlink"/>
          <w:noProof/>
          <w:color w:val="auto"/>
          <w:u w:val="none"/>
        </w:rPr>
        <w:t xml:space="preserve">S2. </w:t>
      </w:r>
      <w:r w:rsidR="0075032B" w:rsidRPr="00AD1B0D">
        <w:rPr>
          <w:rFonts w:eastAsiaTheme="minorEastAsia"/>
        </w:rPr>
        <w:t xml:space="preserve">Plant inputs used for the Manaus and Tapajós </w:t>
      </w:r>
      <w:r w:rsidR="00065E91" w:rsidRPr="00AD1B0D">
        <w:rPr>
          <w:rFonts w:eastAsiaTheme="minorEastAsia"/>
        </w:rPr>
        <w:t>f</w:t>
      </w:r>
      <w:r w:rsidR="0075032B" w:rsidRPr="00AD1B0D">
        <w:rPr>
          <w:rFonts w:eastAsiaTheme="minorEastAsia"/>
        </w:rPr>
        <w:t>orest sites</w:t>
      </w:r>
      <w:r w:rsidRPr="00AD1B0D">
        <w:rPr>
          <w:noProof/>
          <w:webHidden/>
        </w:rPr>
        <w:tab/>
      </w:r>
      <w:r w:rsidR="00D95C2A" w:rsidRPr="00AD1B0D">
        <w:rPr>
          <w:noProof/>
          <w:webHidden/>
        </w:rPr>
        <w:t>6</w:t>
      </w:r>
    </w:p>
    <w:p w14:paraId="3F884EDE" w14:textId="37DE845E" w:rsidR="001E279F" w:rsidRPr="00AD1B0D" w:rsidRDefault="001E279F" w:rsidP="001E279F">
      <w:pPr>
        <w:pStyle w:val="TOC2"/>
        <w:tabs>
          <w:tab w:val="right" w:leader="dot" w:pos="9350"/>
        </w:tabs>
        <w:ind w:left="0" w:right="432"/>
        <w:contextualSpacing/>
        <w:jc w:val="both"/>
        <w:rPr>
          <w:noProof/>
        </w:rPr>
      </w:pPr>
      <w:r w:rsidRPr="00AD1B0D">
        <w:rPr>
          <w:rStyle w:val="Hyperlink"/>
          <w:noProof/>
          <w:color w:val="auto"/>
          <w:u w:val="none"/>
        </w:rPr>
        <w:t>S</w:t>
      </w:r>
      <w:r w:rsidR="00BA5387">
        <w:rPr>
          <w:rStyle w:val="Hyperlink"/>
          <w:noProof/>
          <w:color w:val="auto"/>
          <w:u w:val="none"/>
        </w:rPr>
        <w:t>3</w:t>
      </w:r>
      <w:r w:rsidRPr="00AD1B0D">
        <w:rPr>
          <w:rStyle w:val="Hyperlink"/>
          <w:noProof/>
          <w:color w:val="auto"/>
          <w:u w:val="none"/>
        </w:rPr>
        <w:t>. Description of the simulations conducted at the three amazon sites</w:t>
      </w:r>
      <w:r w:rsidRPr="00AD1B0D">
        <w:rPr>
          <w:noProof/>
          <w:webHidden/>
        </w:rPr>
        <w:tab/>
        <w:t>6</w:t>
      </w:r>
    </w:p>
    <w:p w14:paraId="462A9F77" w14:textId="34B81AD0" w:rsidR="00BA5387" w:rsidRPr="00AD1B0D" w:rsidRDefault="00BA5387" w:rsidP="00BA5387">
      <w:pPr>
        <w:pStyle w:val="TOC2"/>
        <w:tabs>
          <w:tab w:val="right" w:leader="dot" w:pos="9350"/>
        </w:tabs>
        <w:ind w:left="0" w:right="432"/>
        <w:contextualSpacing/>
        <w:jc w:val="both"/>
        <w:rPr>
          <w:noProof/>
        </w:rPr>
      </w:pPr>
      <w:r>
        <w:rPr>
          <w:rStyle w:val="Hyperlink"/>
          <w:noProof/>
          <w:color w:val="auto"/>
          <w:u w:val="none"/>
        </w:rPr>
        <w:t>S4</w:t>
      </w:r>
      <w:r w:rsidRPr="00AD1B0D">
        <w:rPr>
          <w:rStyle w:val="Hyperlink"/>
          <w:noProof/>
          <w:color w:val="auto"/>
          <w:u w:val="none"/>
        </w:rPr>
        <w:t xml:space="preserve">. </w:t>
      </w:r>
      <w:r w:rsidRPr="00AD1B0D">
        <w:rPr>
          <w:rFonts w:eastAsiaTheme="minorEastAsia"/>
        </w:rPr>
        <w:t>Parameters from the Unified Stomatal Optimisation model.</w:t>
      </w:r>
      <w:r w:rsidRPr="00AD1B0D">
        <w:rPr>
          <w:noProof/>
          <w:webHidden/>
        </w:rPr>
        <w:tab/>
        <w:t>7</w:t>
      </w:r>
    </w:p>
    <w:p w14:paraId="7A8B4B6D" w14:textId="753D3C07" w:rsidR="003816EF" w:rsidRPr="00AD1B0D" w:rsidRDefault="00F57D26" w:rsidP="000779AD">
      <w:pPr>
        <w:spacing w:line="360" w:lineRule="auto"/>
        <w:ind w:right="432"/>
        <w:contextualSpacing/>
        <w:jc w:val="both"/>
        <w:outlineLvl w:val="0"/>
        <w:rPr>
          <w:i/>
        </w:rPr>
      </w:pPr>
      <w:r w:rsidRPr="00AD1B0D">
        <w:rPr>
          <w:i/>
        </w:rPr>
        <w:t xml:space="preserve">Supplementary </w:t>
      </w:r>
      <w:r w:rsidR="00C1583B" w:rsidRPr="00AD1B0D">
        <w:rPr>
          <w:i/>
        </w:rPr>
        <w:t>Figures</w:t>
      </w:r>
      <w:r w:rsidRPr="00AD1B0D">
        <w:rPr>
          <w:i/>
        </w:rPr>
        <w:t>:</w:t>
      </w:r>
    </w:p>
    <w:p w14:paraId="0969260E" w14:textId="71C19E7E" w:rsidR="00F57D26" w:rsidRPr="00AD1B0D" w:rsidRDefault="00F57D26" w:rsidP="000779AD">
      <w:pPr>
        <w:spacing w:line="360" w:lineRule="auto"/>
        <w:ind w:right="432"/>
        <w:jc w:val="both"/>
        <w:outlineLvl w:val="0"/>
        <w:rPr>
          <w:i/>
          <w:iCs/>
          <w:szCs w:val="24"/>
        </w:rPr>
      </w:pPr>
      <w:r w:rsidRPr="00AD1B0D">
        <w:rPr>
          <w:rStyle w:val="Hyperlink"/>
          <w:noProof/>
          <w:color w:val="auto"/>
          <w:u w:val="none"/>
        </w:rPr>
        <w:t xml:space="preserve">S1. </w:t>
      </w:r>
      <w:r w:rsidR="00F26812" w:rsidRPr="00AD1B0D">
        <w:rPr>
          <w:szCs w:val="24"/>
        </w:rPr>
        <w:t>Comparison of equations 5 and</w:t>
      </w:r>
      <w:r w:rsidR="000E6BC8" w:rsidRPr="00AD1B0D">
        <w:rPr>
          <w:szCs w:val="24"/>
        </w:rPr>
        <w:t xml:space="preserve"> </w:t>
      </w:r>
      <w:r w:rsidR="00F26812" w:rsidRPr="00AD1B0D">
        <w:rPr>
          <w:szCs w:val="24"/>
        </w:rPr>
        <w:t>6 to compute the normalised root to canopy hydraulic conductanc</w:t>
      </w:r>
      <w:r w:rsidR="000779AD" w:rsidRPr="00AD1B0D">
        <w:rPr>
          <w:szCs w:val="24"/>
        </w:rPr>
        <w:t>e....</w:t>
      </w:r>
      <w:r w:rsidR="007D3428" w:rsidRPr="00AD1B0D">
        <w:rPr>
          <w:szCs w:val="24"/>
        </w:rPr>
        <w:t>…………………………………………….</w:t>
      </w:r>
      <w:r w:rsidRPr="00AD1B0D">
        <w:rPr>
          <w:i/>
          <w:szCs w:val="24"/>
        </w:rPr>
        <w:t>…………………………………</w:t>
      </w:r>
      <w:r w:rsidR="007D3428" w:rsidRPr="00AD1B0D">
        <w:rPr>
          <w:i/>
          <w:szCs w:val="24"/>
        </w:rPr>
        <w:t>..</w:t>
      </w:r>
      <w:r w:rsidRPr="00AD1B0D">
        <w:rPr>
          <w:i/>
          <w:szCs w:val="24"/>
        </w:rPr>
        <w:t>……….</w:t>
      </w:r>
      <w:r w:rsidR="00F7615B" w:rsidRPr="00AD1B0D">
        <w:rPr>
          <w:i/>
          <w:szCs w:val="24"/>
        </w:rPr>
        <w:t>8</w:t>
      </w:r>
    </w:p>
    <w:p w14:paraId="21E59851" w14:textId="2D9CBED9" w:rsidR="00F57D26" w:rsidRPr="00AD1B0D" w:rsidRDefault="00F57D26" w:rsidP="000779AD">
      <w:pPr>
        <w:pStyle w:val="TOC2"/>
        <w:tabs>
          <w:tab w:val="right" w:leader="dot" w:pos="9350"/>
        </w:tabs>
        <w:ind w:left="0" w:right="432"/>
        <w:contextualSpacing/>
        <w:jc w:val="both"/>
        <w:rPr>
          <w:noProof/>
        </w:rPr>
      </w:pPr>
      <w:r w:rsidRPr="00AD1B0D">
        <w:rPr>
          <w:rStyle w:val="Hyperlink"/>
          <w:noProof/>
          <w:color w:val="auto"/>
          <w:u w:val="none"/>
        </w:rPr>
        <w:t>S2.</w:t>
      </w:r>
      <w:r w:rsidR="007D3428" w:rsidRPr="00AD1B0D">
        <w:rPr>
          <w:rStyle w:val="Hyperlink"/>
          <w:noProof/>
          <w:color w:val="auto"/>
          <w:u w:val="none"/>
        </w:rPr>
        <w:t xml:space="preserve"> </w:t>
      </w:r>
      <w:r w:rsidR="007D3428" w:rsidRPr="00AD1B0D">
        <w:rPr>
          <w:rFonts w:eastAsiaTheme="minorEastAsia"/>
        </w:rPr>
        <w:t xml:space="preserve">Effect of different critical values of hydraulic conductance for the computation of the normalised root to canopy hydraulic conductance </w:t>
      </w:r>
      <w:r w:rsidRPr="00AD1B0D">
        <w:rPr>
          <w:noProof/>
          <w:webHidden/>
        </w:rPr>
        <w:tab/>
      </w:r>
      <w:r w:rsidR="00F044FD" w:rsidRPr="00AD1B0D">
        <w:rPr>
          <w:noProof/>
          <w:webHidden/>
        </w:rPr>
        <w:t>9</w:t>
      </w:r>
    </w:p>
    <w:p w14:paraId="2AF781CE" w14:textId="44B4AD29" w:rsidR="003816EF" w:rsidRPr="00AD1B0D" w:rsidRDefault="003816EF" w:rsidP="000779AD">
      <w:pPr>
        <w:pStyle w:val="TOC2"/>
        <w:tabs>
          <w:tab w:val="right" w:leader="dot" w:pos="9350"/>
        </w:tabs>
        <w:ind w:left="0" w:right="432"/>
        <w:contextualSpacing/>
        <w:jc w:val="both"/>
        <w:rPr>
          <w:noProof/>
        </w:rPr>
      </w:pPr>
      <w:r w:rsidRPr="00AD1B0D">
        <w:rPr>
          <w:rStyle w:val="Hyperlink"/>
          <w:noProof/>
          <w:color w:val="auto"/>
          <w:u w:val="none"/>
        </w:rPr>
        <w:t>S</w:t>
      </w:r>
      <w:r w:rsidR="00281415" w:rsidRPr="00AD1B0D">
        <w:rPr>
          <w:rStyle w:val="Hyperlink"/>
          <w:noProof/>
          <w:color w:val="auto"/>
          <w:u w:val="none"/>
        </w:rPr>
        <w:t>3</w:t>
      </w:r>
      <w:r w:rsidRPr="00AD1B0D">
        <w:rPr>
          <w:rStyle w:val="Hyperlink"/>
          <w:noProof/>
          <w:color w:val="auto"/>
          <w:u w:val="none"/>
        </w:rPr>
        <w:t xml:space="preserve">. </w:t>
      </w:r>
      <w:r w:rsidR="007D3428" w:rsidRPr="00AD1B0D">
        <w:rPr>
          <w:rFonts w:eastAsiaTheme="minorEastAsia"/>
        </w:rPr>
        <w:t>The three Amazon forest sites used in our study.</w:t>
      </w:r>
      <w:r w:rsidRPr="00AD1B0D">
        <w:rPr>
          <w:noProof/>
          <w:webHidden/>
        </w:rPr>
        <w:tab/>
      </w:r>
      <w:r w:rsidR="00F044FD" w:rsidRPr="00AD1B0D">
        <w:rPr>
          <w:noProof/>
          <w:webHidden/>
        </w:rPr>
        <w:t>10</w:t>
      </w:r>
    </w:p>
    <w:p w14:paraId="743B7F0C" w14:textId="0EF0D464" w:rsidR="003816EF" w:rsidRPr="00AD1B0D" w:rsidRDefault="003816EF" w:rsidP="000779AD">
      <w:pPr>
        <w:pStyle w:val="TOC2"/>
        <w:tabs>
          <w:tab w:val="right" w:leader="dot" w:pos="9350"/>
        </w:tabs>
        <w:ind w:left="0" w:right="432"/>
        <w:contextualSpacing/>
        <w:jc w:val="both"/>
        <w:rPr>
          <w:noProof/>
        </w:rPr>
      </w:pPr>
      <w:r w:rsidRPr="00AD1B0D">
        <w:rPr>
          <w:rStyle w:val="Hyperlink"/>
          <w:noProof/>
          <w:color w:val="auto"/>
          <w:u w:val="none"/>
        </w:rPr>
        <w:t>S</w:t>
      </w:r>
      <w:r w:rsidR="00281415" w:rsidRPr="00AD1B0D">
        <w:rPr>
          <w:rStyle w:val="Hyperlink"/>
          <w:noProof/>
          <w:color w:val="auto"/>
          <w:u w:val="none"/>
        </w:rPr>
        <w:t>4</w:t>
      </w:r>
      <w:r w:rsidRPr="00AD1B0D">
        <w:rPr>
          <w:rStyle w:val="Hyperlink"/>
          <w:noProof/>
          <w:color w:val="auto"/>
          <w:u w:val="none"/>
        </w:rPr>
        <w:t xml:space="preserve">. </w:t>
      </w:r>
      <w:r w:rsidR="005D5BF4" w:rsidRPr="00AD1B0D">
        <w:t>Description of the β-function model used in the study………………………………………</w:t>
      </w:r>
      <w:r w:rsidR="00F044FD" w:rsidRPr="00AD1B0D">
        <w:t>11</w:t>
      </w:r>
    </w:p>
    <w:p w14:paraId="2985D214" w14:textId="0BFB6C75" w:rsidR="003816EF" w:rsidRPr="00AD1B0D" w:rsidRDefault="003816EF" w:rsidP="000779AD">
      <w:pPr>
        <w:pStyle w:val="TOC2"/>
        <w:tabs>
          <w:tab w:val="right" w:leader="dot" w:pos="9350"/>
        </w:tabs>
        <w:ind w:left="0" w:right="432"/>
        <w:contextualSpacing/>
        <w:jc w:val="both"/>
        <w:rPr>
          <w:noProof/>
        </w:rPr>
      </w:pPr>
      <w:r w:rsidRPr="00AD1B0D">
        <w:rPr>
          <w:rStyle w:val="Hyperlink"/>
          <w:noProof/>
          <w:color w:val="auto"/>
          <w:u w:val="none"/>
        </w:rPr>
        <w:t>S</w:t>
      </w:r>
      <w:r w:rsidR="00281415" w:rsidRPr="00AD1B0D">
        <w:rPr>
          <w:rStyle w:val="Hyperlink"/>
          <w:noProof/>
          <w:color w:val="auto"/>
          <w:u w:val="none"/>
        </w:rPr>
        <w:t>5</w:t>
      </w:r>
      <w:r w:rsidRPr="00AD1B0D">
        <w:rPr>
          <w:rStyle w:val="Hyperlink"/>
          <w:noProof/>
          <w:color w:val="auto"/>
          <w:u w:val="none"/>
        </w:rPr>
        <w:t xml:space="preserve">. </w:t>
      </w:r>
      <w:r w:rsidR="005D5BF4" w:rsidRPr="00AD1B0D">
        <w:rPr>
          <w:rFonts w:eastAsiaTheme="minorEastAsia"/>
        </w:rPr>
        <w:t>Environmental data used to drive the model for the long-term simu</w:t>
      </w:r>
      <w:r w:rsidR="00480D3E" w:rsidRPr="00AD1B0D">
        <w:rPr>
          <w:rFonts w:eastAsiaTheme="minorEastAsia"/>
        </w:rPr>
        <w:t xml:space="preserve">lations for the three Amazonian </w:t>
      </w:r>
      <w:r w:rsidR="005D5BF4" w:rsidRPr="00AD1B0D">
        <w:rPr>
          <w:rFonts w:eastAsiaTheme="minorEastAsia"/>
        </w:rPr>
        <w:t xml:space="preserve">sites </w:t>
      </w:r>
      <w:r w:rsidR="00480D3E" w:rsidRPr="00AD1B0D">
        <w:rPr>
          <w:rFonts w:eastAsiaTheme="minorEastAsia"/>
        </w:rPr>
        <w:t xml:space="preserve">used in </w:t>
      </w:r>
      <w:r w:rsidR="005D5BF4" w:rsidRPr="00AD1B0D">
        <w:rPr>
          <w:rFonts w:eastAsiaTheme="minorEastAsia"/>
        </w:rPr>
        <w:t>this</w:t>
      </w:r>
      <w:r w:rsidR="00480D3E" w:rsidRPr="00AD1B0D">
        <w:rPr>
          <w:rFonts w:eastAsiaTheme="minorEastAsia"/>
        </w:rPr>
        <w:t xml:space="preserve"> </w:t>
      </w:r>
      <w:r w:rsidR="005D5BF4" w:rsidRPr="00AD1B0D">
        <w:rPr>
          <w:rFonts w:eastAsiaTheme="minorEastAsia"/>
        </w:rPr>
        <w:t>study</w:t>
      </w:r>
      <w:r w:rsidR="00480D3E" w:rsidRPr="00AD1B0D">
        <w:rPr>
          <w:rFonts w:eastAsiaTheme="minorEastAsia"/>
        </w:rPr>
        <w:t>.</w:t>
      </w:r>
      <w:r w:rsidR="003A2AA5" w:rsidRPr="00AD1B0D">
        <w:rPr>
          <w:rFonts w:eastAsiaTheme="minorEastAsia"/>
        </w:rPr>
        <w:t>…</w:t>
      </w:r>
      <w:r w:rsidR="00480D3E" w:rsidRPr="00AD1B0D">
        <w:rPr>
          <w:rFonts w:eastAsiaTheme="minorEastAsia"/>
        </w:rPr>
        <w:t>…</w:t>
      </w:r>
      <w:r w:rsidR="003A2AA5" w:rsidRPr="00AD1B0D">
        <w:rPr>
          <w:rFonts w:eastAsiaTheme="minorEastAsia"/>
        </w:rPr>
        <w:t>…………………</w:t>
      </w:r>
      <w:r w:rsidR="00480D3E" w:rsidRPr="00AD1B0D">
        <w:rPr>
          <w:rFonts w:eastAsiaTheme="minorEastAsia"/>
        </w:rPr>
        <w:t>…</w:t>
      </w:r>
      <w:r w:rsidR="003A2AA5" w:rsidRPr="00AD1B0D">
        <w:rPr>
          <w:rFonts w:eastAsiaTheme="minorEastAsia"/>
        </w:rPr>
        <w:t>……………</w:t>
      </w:r>
      <w:r w:rsidR="000779AD" w:rsidRPr="00AD1B0D">
        <w:rPr>
          <w:rFonts w:eastAsiaTheme="minorEastAsia"/>
        </w:rPr>
        <w:t>………………...</w:t>
      </w:r>
      <w:r w:rsidR="003A2AA5" w:rsidRPr="00AD1B0D">
        <w:rPr>
          <w:rFonts w:eastAsiaTheme="minorEastAsia"/>
        </w:rPr>
        <w:t>……</w:t>
      </w:r>
      <w:r w:rsidR="00F044FD" w:rsidRPr="00AD1B0D">
        <w:rPr>
          <w:rFonts w:eastAsiaTheme="minorEastAsia"/>
        </w:rPr>
        <w:t>12</w:t>
      </w:r>
    </w:p>
    <w:p w14:paraId="0DD91BEA" w14:textId="2CEE5395" w:rsidR="003816EF" w:rsidRPr="00AD1B0D" w:rsidRDefault="003816EF" w:rsidP="000779AD">
      <w:pPr>
        <w:pStyle w:val="TOC2"/>
        <w:tabs>
          <w:tab w:val="right" w:leader="dot" w:pos="9350"/>
        </w:tabs>
        <w:ind w:left="0" w:right="432"/>
        <w:contextualSpacing/>
        <w:jc w:val="both"/>
        <w:rPr>
          <w:noProof/>
        </w:rPr>
      </w:pPr>
      <w:r w:rsidRPr="00AD1B0D">
        <w:rPr>
          <w:rStyle w:val="Hyperlink"/>
          <w:noProof/>
          <w:color w:val="auto"/>
          <w:u w:val="none"/>
        </w:rPr>
        <w:t>S</w:t>
      </w:r>
      <w:r w:rsidR="00281415" w:rsidRPr="00AD1B0D">
        <w:rPr>
          <w:rStyle w:val="Hyperlink"/>
          <w:noProof/>
          <w:color w:val="auto"/>
          <w:u w:val="none"/>
        </w:rPr>
        <w:t>6</w:t>
      </w:r>
      <w:r w:rsidRPr="00AD1B0D">
        <w:rPr>
          <w:rStyle w:val="Hyperlink"/>
          <w:noProof/>
          <w:color w:val="auto"/>
          <w:u w:val="none"/>
        </w:rPr>
        <w:t xml:space="preserve">. </w:t>
      </w:r>
      <w:r w:rsidR="007221E5" w:rsidRPr="00AD1B0D">
        <w:rPr>
          <w:rFonts w:eastAsiaTheme="minorEastAsia"/>
        </w:rPr>
        <w:t>Theoretical relationships between intracellular to atmospheric CO</w:t>
      </w:r>
      <w:r w:rsidR="007221E5" w:rsidRPr="00AD1B0D">
        <w:rPr>
          <w:rFonts w:eastAsiaTheme="minorEastAsia"/>
          <w:vertAlign w:val="subscript"/>
        </w:rPr>
        <w:t>2</w:t>
      </w:r>
      <w:r w:rsidR="007221E5" w:rsidRPr="00AD1B0D">
        <w:rPr>
          <w:rFonts w:eastAsiaTheme="minorEastAsia"/>
        </w:rPr>
        <w:t xml:space="preserve"> </w:t>
      </w:r>
      <w:r w:rsidR="007739F3" w:rsidRPr="00AD1B0D">
        <w:rPr>
          <w:rFonts w:eastAsiaTheme="minorEastAsia"/>
        </w:rPr>
        <w:t xml:space="preserve">and </w:t>
      </w:r>
      <w:r w:rsidR="00AD1B0D" w:rsidRPr="00AD1B0D">
        <w:rPr>
          <w:rFonts w:eastAsiaTheme="minorEastAsia"/>
        </w:rPr>
        <w:t>environmental</w:t>
      </w:r>
      <w:r w:rsidR="007739F3" w:rsidRPr="00AD1B0D">
        <w:rPr>
          <w:rFonts w:eastAsiaTheme="minorEastAsia"/>
        </w:rPr>
        <w:t xml:space="preserve"> variables</w:t>
      </w:r>
      <w:r w:rsidRPr="00AD1B0D">
        <w:rPr>
          <w:noProof/>
          <w:webHidden/>
        </w:rPr>
        <w:tab/>
      </w:r>
      <w:r w:rsidR="00F044FD" w:rsidRPr="00AD1B0D">
        <w:rPr>
          <w:noProof/>
          <w:webHidden/>
        </w:rPr>
        <w:t>13</w:t>
      </w:r>
    </w:p>
    <w:p w14:paraId="2A7F32DC" w14:textId="59DB891A" w:rsidR="00281415" w:rsidRPr="00AD1B0D" w:rsidRDefault="00281415" w:rsidP="000779AD">
      <w:pPr>
        <w:pStyle w:val="TOC2"/>
        <w:tabs>
          <w:tab w:val="right" w:leader="dot" w:pos="9350"/>
        </w:tabs>
        <w:ind w:left="0" w:right="432"/>
        <w:contextualSpacing/>
        <w:jc w:val="both"/>
        <w:rPr>
          <w:noProof/>
        </w:rPr>
      </w:pPr>
      <w:r w:rsidRPr="00AD1B0D">
        <w:rPr>
          <w:rStyle w:val="Hyperlink"/>
          <w:noProof/>
          <w:color w:val="auto"/>
          <w:u w:val="none"/>
        </w:rPr>
        <w:t xml:space="preserve">S7. </w:t>
      </w:r>
      <w:r w:rsidR="00AB0E06" w:rsidRPr="00AD1B0D">
        <w:rPr>
          <w:rFonts w:eastAsiaTheme="minorEastAsia"/>
        </w:rPr>
        <w:t>Taylor diagram using the monthly evaporation predictions for the Caxiuanã site.</w:t>
      </w:r>
      <w:r w:rsidRPr="00AD1B0D">
        <w:rPr>
          <w:noProof/>
          <w:webHidden/>
        </w:rPr>
        <w:tab/>
      </w:r>
      <w:r w:rsidR="00F044FD" w:rsidRPr="00AD1B0D">
        <w:rPr>
          <w:noProof/>
        </w:rPr>
        <w:t>14</w:t>
      </w:r>
    </w:p>
    <w:p w14:paraId="2877C983" w14:textId="67E1135D" w:rsidR="00725229" w:rsidRPr="00AD1B0D" w:rsidRDefault="00F57D26" w:rsidP="00725229">
      <w:pPr>
        <w:pStyle w:val="TOC2"/>
        <w:tabs>
          <w:tab w:val="right" w:leader="dot" w:pos="9350"/>
        </w:tabs>
        <w:ind w:left="0" w:right="432"/>
        <w:contextualSpacing/>
        <w:jc w:val="both"/>
        <w:rPr>
          <w:noProof/>
        </w:rPr>
      </w:pPr>
      <w:r w:rsidRPr="00AD1B0D">
        <w:rPr>
          <w:rStyle w:val="Hyperlink"/>
          <w:noProof/>
          <w:color w:val="auto"/>
          <w:u w:val="none"/>
        </w:rPr>
        <w:t>S</w:t>
      </w:r>
      <w:r w:rsidR="00281415" w:rsidRPr="00AD1B0D">
        <w:rPr>
          <w:rStyle w:val="Hyperlink"/>
          <w:noProof/>
          <w:color w:val="auto"/>
          <w:u w:val="none"/>
        </w:rPr>
        <w:t>8</w:t>
      </w:r>
      <w:r w:rsidRPr="00AD1B0D">
        <w:rPr>
          <w:rStyle w:val="Hyperlink"/>
          <w:noProof/>
          <w:color w:val="auto"/>
          <w:u w:val="none"/>
        </w:rPr>
        <w:t xml:space="preserve">. </w:t>
      </w:r>
      <w:r w:rsidR="00480D3E" w:rsidRPr="00AD1B0D">
        <w:rPr>
          <w:bCs/>
        </w:rPr>
        <w:t xml:space="preserve">Minimum daily </w:t>
      </w:r>
      <w:r w:rsidR="00480D3E" w:rsidRPr="00AD1B0D">
        <w:rPr>
          <w:i/>
          <w:iCs/>
        </w:rPr>
        <w:sym w:font="Symbol" w:char="F062"/>
      </w:r>
      <w:r w:rsidR="00480D3E" w:rsidRPr="00AD1B0D" w:rsidDel="00D1234F">
        <w:rPr>
          <w:bCs/>
        </w:rPr>
        <w:t xml:space="preserve"> </w:t>
      </w:r>
      <w:r w:rsidR="00480D3E" w:rsidRPr="00AD1B0D">
        <w:rPr>
          <w:bCs/>
        </w:rPr>
        <w:t>values predicted by the</w:t>
      </w:r>
      <w:r w:rsidR="00480D3E" w:rsidRPr="00AD1B0D">
        <w:t xml:space="preserve"> </w:t>
      </w:r>
      <w:r w:rsidR="00480D3E" w:rsidRPr="00AD1B0D">
        <w:rPr>
          <w:bCs/>
        </w:rPr>
        <w:t xml:space="preserve">β-function model </w:t>
      </w:r>
      <w:r w:rsidR="00AB0E06" w:rsidRPr="00AD1B0D">
        <w:rPr>
          <w:rStyle w:val="Hyperlink"/>
          <w:noProof/>
          <w:color w:val="auto"/>
          <w:u w:val="none"/>
        </w:rPr>
        <w:t xml:space="preserve">and the </w:t>
      </w:r>
      <w:r w:rsidR="00480D3E" w:rsidRPr="00AD1B0D">
        <w:rPr>
          <w:rStyle w:val="Hyperlink"/>
          <w:noProof/>
          <w:color w:val="auto"/>
          <w:u w:val="none"/>
        </w:rPr>
        <w:t xml:space="preserve">minimum daily </w:t>
      </w:r>
      <w:r w:rsidR="00AB0E06" w:rsidRPr="00AD1B0D">
        <w:rPr>
          <w:rStyle w:val="Hyperlink"/>
          <w:noProof/>
          <w:color w:val="auto"/>
          <w:u w:val="none"/>
        </w:rPr>
        <w:t>normalised root to canopy hydraulic conductance from SOX on the Caxiuanã forest simulation</w:t>
      </w:r>
      <w:r w:rsidRPr="00AD1B0D">
        <w:rPr>
          <w:noProof/>
          <w:webHidden/>
        </w:rPr>
        <w:tab/>
      </w:r>
      <w:r w:rsidR="00FF4162" w:rsidRPr="00AD1B0D">
        <w:rPr>
          <w:noProof/>
          <w:webHidden/>
        </w:rPr>
        <w:t>15</w:t>
      </w:r>
    </w:p>
    <w:p w14:paraId="763C2AC0" w14:textId="2627D11A" w:rsidR="000103B3" w:rsidRDefault="000103B3" w:rsidP="00725229">
      <w:pPr>
        <w:pStyle w:val="TOC2"/>
        <w:tabs>
          <w:tab w:val="right" w:leader="dot" w:pos="9350"/>
        </w:tabs>
        <w:ind w:left="0" w:right="432"/>
        <w:contextualSpacing/>
        <w:jc w:val="both"/>
        <w:rPr>
          <w:rStyle w:val="Hyperlink"/>
          <w:noProof/>
          <w:color w:val="auto"/>
          <w:u w:val="none"/>
        </w:rPr>
      </w:pPr>
      <w:r w:rsidRPr="00AD1B0D">
        <w:rPr>
          <w:rStyle w:val="Hyperlink"/>
          <w:noProof/>
          <w:color w:val="auto"/>
          <w:u w:val="none"/>
        </w:rPr>
        <w:t>S</w:t>
      </w:r>
      <w:r>
        <w:rPr>
          <w:rStyle w:val="Hyperlink"/>
          <w:noProof/>
          <w:color w:val="auto"/>
          <w:u w:val="none"/>
        </w:rPr>
        <w:t>9</w:t>
      </w:r>
      <w:r w:rsidRPr="00AD1B0D">
        <w:rPr>
          <w:rStyle w:val="Hyperlink"/>
          <w:noProof/>
          <w:color w:val="auto"/>
          <w:u w:val="none"/>
        </w:rPr>
        <w:t>.</w:t>
      </w:r>
      <w:r w:rsidRPr="00AD1B0D">
        <w:rPr>
          <w:bCs/>
        </w:rPr>
        <w:t xml:space="preserve"> Anomalies in air temperature, vapour pressure deficit and soil water potential at each study site</w:t>
      </w:r>
      <w:r w:rsidRPr="00AD1B0D">
        <w:rPr>
          <w:noProof/>
          <w:webHidden/>
        </w:rPr>
        <w:tab/>
        <w:t>1</w:t>
      </w:r>
      <w:r>
        <w:rPr>
          <w:noProof/>
          <w:webHidden/>
        </w:rPr>
        <w:t>6</w:t>
      </w:r>
    </w:p>
    <w:p w14:paraId="42F1AB4E" w14:textId="318552D4" w:rsidR="00725229" w:rsidRPr="00AD1B0D" w:rsidRDefault="000103B3" w:rsidP="00725229">
      <w:pPr>
        <w:pStyle w:val="TOC2"/>
        <w:tabs>
          <w:tab w:val="right" w:leader="dot" w:pos="9350"/>
        </w:tabs>
        <w:ind w:left="0" w:right="432"/>
        <w:contextualSpacing/>
        <w:jc w:val="both"/>
        <w:rPr>
          <w:noProof/>
        </w:rPr>
      </w:pPr>
      <w:r>
        <w:rPr>
          <w:rStyle w:val="Hyperlink"/>
          <w:noProof/>
          <w:color w:val="auto"/>
          <w:u w:val="none"/>
        </w:rPr>
        <w:t>S10</w:t>
      </w:r>
      <w:r w:rsidR="00281415" w:rsidRPr="00AD1B0D">
        <w:rPr>
          <w:rStyle w:val="Hyperlink"/>
          <w:noProof/>
          <w:color w:val="auto"/>
          <w:u w:val="none"/>
        </w:rPr>
        <w:t xml:space="preserve">. </w:t>
      </w:r>
      <w:r w:rsidR="00835EF3" w:rsidRPr="00AD1B0D">
        <w:rPr>
          <w:rStyle w:val="Hyperlink"/>
          <w:noProof/>
          <w:color w:val="auto"/>
          <w:u w:val="none"/>
        </w:rPr>
        <w:t>Annual canopy gross carbon assimilation predicted by SOX and by the β-function model for the three sites used in this study</w:t>
      </w:r>
      <w:r w:rsidR="00281415" w:rsidRPr="00AD1B0D">
        <w:rPr>
          <w:noProof/>
          <w:webHidden/>
        </w:rPr>
        <w:tab/>
      </w:r>
      <w:r w:rsidR="00FF4162" w:rsidRPr="00AD1B0D">
        <w:rPr>
          <w:noProof/>
          <w:webHidden/>
        </w:rPr>
        <w:t>1</w:t>
      </w:r>
      <w:r>
        <w:rPr>
          <w:noProof/>
          <w:webHidden/>
        </w:rPr>
        <w:t>7</w:t>
      </w:r>
    </w:p>
    <w:p w14:paraId="2B66CF38" w14:textId="17D78AB9" w:rsidR="00F57D26" w:rsidRDefault="00F57D26" w:rsidP="000779AD">
      <w:pPr>
        <w:pStyle w:val="TOC2"/>
        <w:tabs>
          <w:tab w:val="right" w:leader="dot" w:pos="9350"/>
        </w:tabs>
        <w:ind w:left="0" w:right="432"/>
        <w:contextualSpacing/>
        <w:jc w:val="both"/>
        <w:rPr>
          <w:noProof/>
        </w:rPr>
      </w:pPr>
    </w:p>
    <w:p w14:paraId="4DA39023" w14:textId="4D633DA9" w:rsidR="00372D79" w:rsidRDefault="00372D79" w:rsidP="00480D3E">
      <w:pPr>
        <w:ind w:right="432"/>
        <w:jc w:val="center"/>
        <w:rPr>
          <w:b/>
          <w:bCs/>
          <w:szCs w:val="24"/>
        </w:rPr>
      </w:pPr>
      <w:r>
        <w:rPr>
          <w:b/>
          <w:bCs/>
          <w:szCs w:val="24"/>
        </w:rPr>
        <w:lastRenderedPageBreak/>
        <w:t>Supplementary Notes</w:t>
      </w:r>
    </w:p>
    <w:p w14:paraId="7DDABCC6" w14:textId="77777777" w:rsidR="00581682" w:rsidRDefault="00581682" w:rsidP="00581682">
      <w:pPr>
        <w:jc w:val="center"/>
        <w:rPr>
          <w:b/>
          <w:bCs/>
          <w:szCs w:val="24"/>
        </w:rPr>
      </w:pPr>
    </w:p>
    <w:p w14:paraId="3516AA6F" w14:textId="61D30500" w:rsidR="00440A85" w:rsidRPr="00993651" w:rsidRDefault="00C1583B" w:rsidP="00440A85">
      <w:pPr>
        <w:spacing w:line="360" w:lineRule="auto"/>
        <w:jc w:val="both"/>
        <w:outlineLvl w:val="0"/>
        <w:rPr>
          <w:i/>
          <w:iCs/>
          <w:szCs w:val="24"/>
        </w:rPr>
      </w:pPr>
      <w:r>
        <w:rPr>
          <w:b/>
          <w:bCs/>
          <w:szCs w:val="24"/>
        </w:rPr>
        <w:t>Note</w:t>
      </w:r>
      <w:r w:rsidR="008E1C7E">
        <w:rPr>
          <w:b/>
          <w:bCs/>
          <w:szCs w:val="24"/>
        </w:rPr>
        <w:t>s</w:t>
      </w:r>
      <w:r>
        <w:rPr>
          <w:b/>
          <w:bCs/>
          <w:szCs w:val="24"/>
        </w:rPr>
        <w:t xml:space="preserve"> </w:t>
      </w:r>
      <w:r w:rsidR="00440A85" w:rsidRPr="00993651">
        <w:rPr>
          <w:b/>
          <w:bCs/>
          <w:szCs w:val="24"/>
        </w:rPr>
        <w:t xml:space="preserve">S1. </w:t>
      </w:r>
      <w:r w:rsidR="00440A85" w:rsidRPr="00993651">
        <w:rPr>
          <w:i/>
          <w:szCs w:val="24"/>
        </w:rPr>
        <w:t>Photosynthesis model description</w:t>
      </w:r>
    </w:p>
    <w:p w14:paraId="3516AA70" w14:textId="3104202A" w:rsidR="00440A85" w:rsidRPr="00FC3E0A" w:rsidRDefault="00440A85" w:rsidP="00440A85">
      <w:pPr>
        <w:spacing w:line="360" w:lineRule="auto"/>
        <w:ind w:firstLine="720"/>
        <w:jc w:val="both"/>
        <w:rPr>
          <w:szCs w:val="24"/>
        </w:rPr>
      </w:pPr>
      <w:r w:rsidRPr="00993651">
        <w:rPr>
          <w:szCs w:val="24"/>
        </w:rPr>
        <w:t>We model vegetation carbon assimilation (</w:t>
      </w:r>
      <w:r w:rsidRPr="00993651">
        <w:rPr>
          <w:i/>
          <w:iCs/>
          <w:szCs w:val="24"/>
        </w:rPr>
        <w:t>A</w:t>
      </w:r>
      <w:r w:rsidRPr="00993651">
        <w:rPr>
          <w:szCs w:val="24"/>
        </w:rPr>
        <w:t>; mol m</w:t>
      </w:r>
      <w:r w:rsidRPr="00993651">
        <w:rPr>
          <w:szCs w:val="24"/>
          <w:vertAlign w:val="superscript"/>
        </w:rPr>
        <w:t>-2</w:t>
      </w:r>
      <w:r w:rsidRPr="00993651">
        <w:rPr>
          <w:szCs w:val="24"/>
        </w:rPr>
        <w:t xml:space="preserve"> s</w:t>
      </w:r>
      <w:r w:rsidRPr="00993651">
        <w:rPr>
          <w:szCs w:val="24"/>
          <w:vertAlign w:val="superscript"/>
        </w:rPr>
        <w:t>-1</w:t>
      </w:r>
      <w:r w:rsidRPr="00FC3E0A">
        <w:rPr>
          <w:szCs w:val="24"/>
        </w:rPr>
        <w:t xml:space="preserve">) using the C3 photosynthesis model of </w:t>
      </w:r>
      <w:proofErr w:type="spellStart"/>
      <w:r w:rsidRPr="00FC3E0A">
        <w:rPr>
          <w:szCs w:val="24"/>
        </w:rPr>
        <w:t>Collatz</w:t>
      </w:r>
      <w:proofErr w:type="spellEnd"/>
      <w:r w:rsidRPr="00FC3E0A">
        <w:rPr>
          <w:szCs w:val="24"/>
        </w:rPr>
        <w:t xml:space="preserve"> </w:t>
      </w:r>
      <w:r w:rsidRPr="00070CD4">
        <w:rPr>
          <w:i/>
          <w:szCs w:val="24"/>
        </w:rPr>
        <w:t>et al</w:t>
      </w:r>
      <w:r w:rsidR="00070CD4" w:rsidRPr="00070CD4">
        <w:rPr>
          <w:i/>
          <w:szCs w:val="24"/>
        </w:rPr>
        <w:t>.</w:t>
      </w:r>
      <w:r w:rsidRPr="00FC3E0A">
        <w:rPr>
          <w:szCs w:val="24"/>
        </w:rPr>
        <w:t xml:space="preserve"> </w:t>
      </w:r>
      <w:r w:rsidRPr="00993651">
        <w:rPr>
          <w:szCs w:val="24"/>
        </w:rPr>
        <w:fldChar w:fldCharType="begin" w:fldLock="1"/>
      </w:r>
      <w:r w:rsidR="00FA51AF">
        <w:rPr>
          <w:szCs w:val="24"/>
        </w:rPr>
        <w:instrText>ADDIN CSL_CITATION {"citationItems":[{"id":"ITEM-1","itemData":{"DOI":"10.1016/0168-1923(91)90002-8","ISBN":"0168-1923","ISSN":"01681923","PMID":"10938857","abstract":"This paper presents a system of models for the simulation of gas and energy exchange of a leaf of a C3 plant in free air. The physiological processes are simulated by sub-models that: (a) give net photosynthesis (An) as a function of environmental and leaf parameters and stomatal conductance (gs); (b) give g, as a function of the concentration of CO2 and H2O in air at the leaf surface and the current rate of photosynthesis of the leaf. An energy balance and mass transport sub-model is used to couple the physiological processes through a variable boundary layer to the ambient environment. The models are based on theoretical and empirical analysis of gs, and An measured at the leaf level, and tests with intact attached leaves of soybeans show very good agreement between predicted and measured responses of gs and An over a wide range of leaf temperatures (20-35°C), CO2 concentrations (10-90 Pa), air to leaf water vapor deficits (0.5-3.7 kPa) and light intensities (100-2000 μmol m-2s-1). The combined models were used to simulate the responses of latent heat flux (λE) and gs for a soybean canopy for the course of an idealized summer day, using the 'big-leaf' approximation. Appropriate data are not yet available to provide a rigorous test of these simulations, but the response patterns are similar to field observations. These simulations show a pronounced midday depression of λE and gs at low or high values of boundary-layer conductance. Deterioration of plant water relations during midday has often been invoked to explain this common natural phenomenon, but the present models do not consider this possibility. Analysis of the model indicates that the simulated midday depression is, in part, the result of positive feedback mediated by the boundary layer. For example, a change in gs affects An and λE. As a consequence, the temperature, humidity and CO2 concentration of the air in the proximity of the stomata (e.g. the air at the leaf surface) change and these, in turn, affect gs. The simulations illustrate the possible significance of the boundary layer in mediating feedback loops which affect the regulation of stomatal conductance and λE. The simulations also examine the significance of changing the response properties of the photosynthetic component of the model by changing leaf protein content or the CO2 concentration of the atmosphere. © 1991.","author":[{"dropping-particle":"","family":"Collatz","given":"G. James","non-dropping-particle":"","parse-names":false,"suffix":""},{"dropping-particle":"","family":"Ball","given":"J. Timothy","non-dropping-particle":"","parse-names":false,"suffix":""},{"dropping-particle":"","family":"Grivet","given":"Cyril","non-dropping-particle":"","parse-names":false,"suffix":""},{"dropping-particle":"","family":"Berry","given":"Joseph A.","non-dropping-particle":"","parse-names":false,"suffix":""}],"container-title":"Agricultural and Forest Meteorology","id":"ITEM-1","issue":"2-4","issued":{"date-parts":[["1991"]]},"page":"107-136","title":"Physiological and environmental regulation of stomatal conductance, photosynthesis and transpiration: a model that includes a laminar boundary layer","type":"article-journal","volume":"54"},"uris":["http://www.mendeley.com/documents/?uuid=e8ce27b3-253e-4bf1-b996-8488f76380ec"]}],"mendeley":{"formattedCitation":"[1]","plainTextFormattedCitation":"[1]","previouslyFormattedCitation":"[1]"},"properties":{"noteIndex":0},"schema":"https://github.com/citation-style-language/schema/raw/master/csl-citation.json"}</w:instrText>
      </w:r>
      <w:r w:rsidRPr="00993651">
        <w:rPr>
          <w:szCs w:val="24"/>
        </w:rPr>
        <w:fldChar w:fldCharType="separate"/>
      </w:r>
      <w:r w:rsidR="008F6391" w:rsidRPr="00993651">
        <w:rPr>
          <w:noProof/>
          <w:szCs w:val="24"/>
        </w:rPr>
        <w:t>[1]</w:t>
      </w:r>
      <w:r w:rsidRPr="00993651">
        <w:rPr>
          <w:szCs w:val="24"/>
        </w:rPr>
        <w:fldChar w:fldCharType="end"/>
      </w:r>
      <w:r w:rsidRPr="00993651">
        <w:rPr>
          <w:szCs w:val="24"/>
        </w:rPr>
        <w:t xml:space="preserve"> as described by Clark </w:t>
      </w:r>
      <w:r w:rsidRPr="00070CD4">
        <w:rPr>
          <w:i/>
          <w:szCs w:val="24"/>
        </w:rPr>
        <w:t>et al</w:t>
      </w:r>
      <w:r w:rsidR="00070CD4" w:rsidRPr="00070CD4">
        <w:rPr>
          <w:i/>
          <w:szCs w:val="24"/>
        </w:rPr>
        <w:t>.</w:t>
      </w:r>
      <w:r w:rsidRPr="00993651">
        <w:rPr>
          <w:szCs w:val="24"/>
        </w:rPr>
        <w:t xml:space="preserve"> </w:t>
      </w:r>
      <w:r w:rsidRPr="00993651">
        <w:rPr>
          <w:szCs w:val="24"/>
        </w:rPr>
        <w:fldChar w:fldCharType="begin" w:fldLock="1"/>
      </w:r>
      <w:r w:rsidR="00FA51AF">
        <w:rPr>
          <w:szCs w:val="24"/>
        </w:rPr>
        <w:instrText>ADDIN CSL_CITATION {"citationItems":[{"id":"ITEM-1","itemData":{"DOI":"10.5194/gmdd-4-641-2011","ISBN":"1991-959X","ISSN":"1991-962X","PMID":"23504720","abstract":"This manuscript describes the energy and water components of a new community land surface model called the Joint UK Land Environment Simulator (JULES). This is developed from the Met Office Surface Exchange Scheme (MOSES). It can be used as a stand alone land surface model driven by observed forcing data, or coupled to an atmospheric global circulation model. The JULES model has been coupled to the Met Office Unified Model (UM) and as such provides a unique opportunity for the research community to contribute their research to improve both worldleading operational weather forecasting and climate change prediction systems. In addition JULES, and its forerunner MOSES, have been the basis for a number of very highprofile papers concerning the land-surface and climate over the last decade. JULES has a modular structure aligned to physical processes, providing the basis for a flexible modelling platform.","author":[{"dropping-particle":"","family":"Clark","given":"D. B.","non-dropping-particle":"","parse-names":false,"suffix":""},{"dropping-particle":"","family":"Mercado","given":"L. M.","non-dropping-particle":"","parse-names":false,"suffix":""},{"dropping-particle":"","family":"Sitch","given":"S.","non-dropping-particle":"","parse-names":false,"suffix":""},{"dropping-particle":"","family":"Jones","given":"C. D.","non-dropping-particle":"","parse-names":false,"suffix":""},{"dropping-particle":"","family":"Gedney","given":"N.","non-dropping-particle":"","parse-names":false,"suffix":""},{"dropping-particle":"","family":"Best","given":"M. J.","non-dropping-particle":"","parse-names":false,"suffix":""},{"dropping-particle":"","family":"Pryor","given":"M.","non-dropping-particle":"","parse-names":false,"suffix":""},{"dropping-particle":"","family":"Rooney","given":"G. G.","non-dropping-particle":"","parse-names":false,"suffix":""},{"dropping-particle":"","family":"Essery","given":"R. L. H.","non-dropping-particle":"","parse-names":false,"suffix":""},{"dropping-particle":"","family":"Blyth","given":"E.","non-dropping-particle":"","parse-names":false,"suffix":""},{"dropping-particle":"","family":"Boucher","given":"O.","non-dropping-particle":"","parse-names":false,"suffix":""},{"dropping-particle":"","family":"Harding","given":"R. J.","non-dropping-particle":"","parse-names":false,"suffix":""},{"dropping-particle":"","family":"Cox","given":"P. M.","non-dropping-particle":"","parse-names":false,"suffix":""}],"container-title":"Geoscientific Model Development Discussions","id":"ITEM-1","issue":"1","issued":{"date-parts":[["2011"]]},"page":"641-688","title":"The Joint UK Land Environment Simulator (JULES), Model description – Part 2: Carbon fluxes and vegetation","type":"article-journal","volume":"4"},"uris":["http://www.mendeley.com/documents/?uuid=56609b01-0309-40b0-a269-a6d756cbb561"]}],"mendeley":{"formattedCitation":"[2]","plainTextFormattedCitation":"[2]","previouslyFormattedCitation":"[2]"},"properties":{"noteIndex":0},"schema":"https://github.com/citation-style-language/schema/raw/master/csl-citation.json"}</w:instrText>
      </w:r>
      <w:r w:rsidRPr="00993651">
        <w:rPr>
          <w:szCs w:val="24"/>
        </w:rPr>
        <w:fldChar w:fldCharType="separate"/>
      </w:r>
      <w:r w:rsidR="008F6391" w:rsidRPr="00993651">
        <w:rPr>
          <w:noProof/>
          <w:szCs w:val="24"/>
        </w:rPr>
        <w:t>[2]</w:t>
      </w:r>
      <w:r w:rsidRPr="00993651">
        <w:rPr>
          <w:szCs w:val="24"/>
        </w:rPr>
        <w:fldChar w:fldCharType="end"/>
      </w:r>
      <w:r w:rsidRPr="00993651">
        <w:rPr>
          <w:szCs w:val="24"/>
        </w:rPr>
        <w:t xml:space="preserve">. This model calculates </w:t>
      </w:r>
      <w:r w:rsidRPr="00993651">
        <w:rPr>
          <w:i/>
          <w:iCs/>
          <w:szCs w:val="24"/>
        </w:rPr>
        <w:t>A</w:t>
      </w:r>
      <w:r w:rsidRPr="00993651">
        <w:rPr>
          <w:szCs w:val="24"/>
        </w:rPr>
        <w:t xml:space="preserve"> as the smoothed minimum of three potentially-limiting photosynthetic rates: rubisco-limited rate (</w:t>
      </w:r>
      <w:proofErr w:type="spellStart"/>
      <w:r w:rsidRPr="00993651">
        <w:rPr>
          <w:i/>
          <w:iCs/>
          <w:szCs w:val="24"/>
        </w:rPr>
        <w:t>W</w:t>
      </w:r>
      <w:r w:rsidRPr="00993651">
        <w:rPr>
          <w:szCs w:val="24"/>
          <w:vertAlign w:val="subscript"/>
        </w:rPr>
        <w:t>c</w:t>
      </w:r>
      <w:proofErr w:type="spellEnd"/>
      <w:r w:rsidRPr="00993651">
        <w:rPr>
          <w:szCs w:val="24"/>
        </w:rPr>
        <w:t>), light-limited rate (</w:t>
      </w:r>
      <w:proofErr w:type="spellStart"/>
      <w:r w:rsidRPr="00993651">
        <w:rPr>
          <w:i/>
          <w:iCs/>
          <w:szCs w:val="24"/>
        </w:rPr>
        <w:t>W</w:t>
      </w:r>
      <w:r w:rsidRPr="00993651">
        <w:rPr>
          <w:szCs w:val="24"/>
          <w:vertAlign w:val="subscript"/>
        </w:rPr>
        <w:t>l</w:t>
      </w:r>
      <w:proofErr w:type="spellEnd"/>
      <w:r w:rsidRPr="00993651">
        <w:rPr>
          <w:szCs w:val="24"/>
        </w:rPr>
        <w:t>) and transport-limited rate (</w:t>
      </w:r>
      <w:r w:rsidRPr="00FC3E0A">
        <w:rPr>
          <w:i/>
          <w:iCs/>
          <w:szCs w:val="24"/>
        </w:rPr>
        <w:t>W</w:t>
      </w:r>
      <w:r w:rsidRPr="00FC3E0A">
        <w:rPr>
          <w:szCs w:val="24"/>
          <w:vertAlign w:val="subscript"/>
        </w:rPr>
        <w:t>e</w:t>
      </w:r>
      <w:r w:rsidRPr="00FC3E0A">
        <w:rPr>
          <w:szCs w:val="24"/>
        </w:rPr>
        <w:t xml:space="preserve">). </w:t>
      </w:r>
    </w:p>
    <w:p w14:paraId="3516AA71" w14:textId="77777777" w:rsidR="00440A85" w:rsidRPr="00FC3E0A" w:rsidRDefault="00440A85" w:rsidP="00440A85">
      <w:pPr>
        <w:spacing w:line="360" w:lineRule="auto"/>
        <w:ind w:firstLine="720"/>
        <w:jc w:val="both"/>
        <w:rPr>
          <w:rFonts w:eastAsiaTheme="minorEastAsia"/>
          <w:szCs w:val="24"/>
        </w:rPr>
      </w:pPr>
      <w:r w:rsidRPr="00FC3E0A">
        <w:rPr>
          <w:szCs w:val="24"/>
        </w:rPr>
        <w:t xml:space="preserve">The </w:t>
      </w:r>
      <w:r w:rsidRPr="00FC3E0A">
        <w:rPr>
          <w:rFonts w:eastAsiaTheme="minorEastAsia"/>
          <w:szCs w:val="24"/>
        </w:rPr>
        <w:t>Rubisco limited photosynthesis rate (</w:t>
      </w:r>
      <w:proofErr w:type="spellStart"/>
      <w:r w:rsidRPr="00FC3E0A">
        <w:rPr>
          <w:rFonts w:eastAsiaTheme="minorEastAsia"/>
          <w:i/>
          <w:iCs/>
          <w:szCs w:val="24"/>
        </w:rPr>
        <w:t>W</w:t>
      </w:r>
      <w:r w:rsidRPr="00FC3E0A">
        <w:rPr>
          <w:rFonts w:eastAsiaTheme="minorEastAsia"/>
          <w:szCs w:val="24"/>
          <w:vertAlign w:val="subscript"/>
        </w:rPr>
        <w:t>c</w:t>
      </w:r>
      <w:proofErr w:type="spellEnd"/>
      <w:r w:rsidRPr="00FC3E0A">
        <w:rPr>
          <w:rFonts w:eastAsiaTheme="minorEastAsia"/>
          <w:szCs w:val="24"/>
        </w:rPr>
        <w:t>) is given by:</w:t>
      </w:r>
    </w:p>
    <w:p w14:paraId="3516AA72" w14:textId="77777777" w:rsidR="00440A85" w:rsidRPr="00993651" w:rsidRDefault="00EA5F47" w:rsidP="00440A85">
      <w:pPr>
        <w:spacing w:line="360" w:lineRule="auto"/>
        <w:jc w:val="both"/>
        <w:rPr>
          <w:rFonts w:eastAsiaTheme="minorEastAsia"/>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cmax</m:t>
            </m:r>
          </m:sub>
        </m:sSub>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r>
              <w:rPr>
                <w:rFonts w:ascii="Cambria Math" w:hAnsi="Cambria Math"/>
                <w:szCs w:val="24"/>
              </w:rPr>
              <m:t>-Γ</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c</m:t>
                </m:r>
              </m:sub>
            </m:sSub>
            <m:r>
              <w:rPr>
                <w:rFonts w:ascii="Cambria Math" w:hAnsi="Cambria Math"/>
                <w:szCs w:val="24"/>
              </w:rPr>
              <m:t>(1+</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O</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o</m:t>
                    </m:r>
                  </m:sub>
                </m:sSub>
              </m:den>
            </m:f>
            <m:r>
              <w:rPr>
                <w:rFonts w:ascii="Cambria Math" w:hAnsi="Cambria Math"/>
                <w:szCs w:val="24"/>
              </w:rPr>
              <m:t>)</m:t>
            </m:r>
          </m:den>
        </m:f>
      </m:oMath>
      <w:r w:rsidR="00440A85" w:rsidRPr="00993651">
        <w:rPr>
          <w:rFonts w:eastAsiaTheme="minorEastAsia"/>
          <w:szCs w:val="24"/>
        </w:rPr>
        <w:t xml:space="preserve"> </w:t>
      </w:r>
      <w:r w:rsidR="00440A85" w:rsidRPr="00993651">
        <w:rPr>
          <w:rFonts w:eastAsiaTheme="minorEastAsia"/>
          <w:szCs w:val="24"/>
        </w:rPr>
        <w:tab/>
      </w:r>
    </w:p>
    <w:p w14:paraId="3516AA73" w14:textId="77777777" w:rsidR="00440A85" w:rsidRPr="00FC3E0A" w:rsidRDefault="00440A85" w:rsidP="00440A85">
      <w:pPr>
        <w:spacing w:line="360" w:lineRule="auto"/>
        <w:jc w:val="both"/>
        <w:rPr>
          <w:rFonts w:eastAsiaTheme="minorEastAsia"/>
          <w:szCs w:val="24"/>
        </w:rPr>
      </w:pPr>
      <w:r w:rsidRPr="00993651">
        <w:rPr>
          <w:rFonts w:eastAsiaTheme="minorEastAsia"/>
          <w:szCs w:val="24"/>
        </w:rPr>
        <w:t xml:space="preserve">Where </w:t>
      </w:r>
      <w:proofErr w:type="spellStart"/>
      <w:r w:rsidRPr="00993651">
        <w:rPr>
          <w:rFonts w:eastAsiaTheme="minorEastAsia"/>
          <w:i/>
          <w:iCs/>
          <w:szCs w:val="24"/>
        </w:rPr>
        <w:t>V</w:t>
      </w:r>
      <w:r w:rsidRPr="00993651">
        <w:rPr>
          <w:rFonts w:eastAsiaTheme="minorEastAsia"/>
          <w:szCs w:val="24"/>
          <w:vertAlign w:val="subscript"/>
        </w:rPr>
        <w:t>cmax</w:t>
      </w:r>
      <w:proofErr w:type="spellEnd"/>
      <w:r w:rsidRPr="00993651">
        <w:rPr>
          <w:rFonts w:eastAsiaTheme="minorEastAsia"/>
          <w:szCs w:val="24"/>
        </w:rPr>
        <w:t xml:space="preserve"> is the Rubisco maximum carboxylation rate (mol m</w:t>
      </w:r>
      <w:r w:rsidRPr="00993651">
        <w:rPr>
          <w:rFonts w:eastAsiaTheme="minorEastAsia"/>
          <w:szCs w:val="24"/>
          <w:vertAlign w:val="superscript"/>
        </w:rPr>
        <w:t>-2</w:t>
      </w:r>
      <w:r w:rsidRPr="00993651">
        <w:rPr>
          <w:rFonts w:eastAsiaTheme="minorEastAsia"/>
          <w:szCs w:val="24"/>
        </w:rPr>
        <w:t xml:space="preserve"> s</w:t>
      </w:r>
      <w:r w:rsidRPr="00993651">
        <w:rPr>
          <w:rFonts w:eastAsiaTheme="minorEastAsia"/>
          <w:szCs w:val="24"/>
          <w:vertAlign w:val="superscript"/>
        </w:rPr>
        <w:t>-1</w:t>
      </w:r>
      <w:r w:rsidRPr="00993651">
        <w:rPr>
          <w:rFonts w:eastAsiaTheme="minorEastAsia"/>
          <w:szCs w:val="24"/>
        </w:rPr>
        <w:t xml:space="preserve">), </w:t>
      </w:r>
      <w:r w:rsidRPr="004244FF">
        <w:rPr>
          <w:rFonts w:eastAsiaTheme="minorEastAsia"/>
          <w:i/>
          <w:szCs w:val="24"/>
        </w:rPr>
        <w:t>c</w:t>
      </w:r>
      <w:r w:rsidRPr="004244FF">
        <w:rPr>
          <w:rFonts w:eastAsiaTheme="minorEastAsia"/>
          <w:i/>
          <w:szCs w:val="24"/>
          <w:vertAlign w:val="subscript"/>
        </w:rPr>
        <w:t>i</w:t>
      </w:r>
      <w:r w:rsidRPr="00993651">
        <w:rPr>
          <w:rFonts w:eastAsiaTheme="minorEastAsia"/>
          <w:szCs w:val="24"/>
        </w:rPr>
        <w:t xml:space="preserve"> is the leaf internal CO2 partial pressure (Pa), </w:t>
      </w:r>
      <w:r w:rsidRPr="00993651">
        <w:rPr>
          <w:rFonts w:eastAsiaTheme="minorEastAsia"/>
          <w:i/>
          <w:iCs/>
          <w:szCs w:val="24"/>
        </w:rPr>
        <w:t>O</w:t>
      </w:r>
      <w:r w:rsidRPr="00993651">
        <w:rPr>
          <w:rFonts w:eastAsiaTheme="minorEastAsia"/>
          <w:szCs w:val="24"/>
          <w:vertAlign w:val="subscript"/>
        </w:rPr>
        <w:t>a</w:t>
      </w:r>
      <w:r w:rsidRPr="00993651">
        <w:rPr>
          <w:rFonts w:eastAsiaTheme="minorEastAsia"/>
          <w:szCs w:val="24"/>
        </w:rPr>
        <w:t xml:space="preserve"> is the oxygen partial pressure in the atmosphere (Pa), Γ is the photorespiration compensation point (Pa), and </w:t>
      </w:r>
      <w:r w:rsidRPr="00993651">
        <w:rPr>
          <w:rFonts w:eastAsiaTheme="minorEastAsia"/>
          <w:i/>
          <w:iCs/>
          <w:szCs w:val="24"/>
        </w:rPr>
        <w:t>K</w:t>
      </w:r>
      <w:r w:rsidRPr="00993651">
        <w:rPr>
          <w:rFonts w:eastAsiaTheme="minorEastAsia"/>
          <w:szCs w:val="24"/>
          <w:vertAlign w:val="subscript"/>
        </w:rPr>
        <w:t>c</w:t>
      </w:r>
      <w:r w:rsidRPr="00FC3E0A">
        <w:rPr>
          <w:rFonts w:eastAsiaTheme="minorEastAsia"/>
          <w:szCs w:val="24"/>
        </w:rPr>
        <w:t xml:space="preserve"> and </w:t>
      </w:r>
      <w:r w:rsidRPr="00FC3E0A">
        <w:rPr>
          <w:rFonts w:eastAsiaTheme="minorEastAsia"/>
          <w:i/>
          <w:iCs/>
          <w:szCs w:val="24"/>
        </w:rPr>
        <w:t>K</w:t>
      </w:r>
      <w:r w:rsidRPr="00FC3E0A">
        <w:rPr>
          <w:rFonts w:eastAsiaTheme="minorEastAsia"/>
          <w:szCs w:val="24"/>
          <w:vertAlign w:val="subscript"/>
        </w:rPr>
        <w:t>o</w:t>
      </w:r>
      <w:r w:rsidRPr="00FC3E0A">
        <w:rPr>
          <w:rFonts w:eastAsiaTheme="minorEastAsia"/>
          <w:szCs w:val="24"/>
        </w:rPr>
        <w:t xml:space="preserve"> are Michaelis-Menten constants for CO</w:t>
      </w:r>
      <w:r w:rsidRPr="00FC3E0A">
        <w:rPr>
          <w:rFonts w:eastAsiaTheme="minorEastAsia"/>
          <w:szCs w:val="24"/>
          <w:vertAlign w:val="subscript"/>
        </w:rPr>
        <w:t>2</w:t>
      </w:r>
      <w:r w:rsidRPr="00FC3E0A">
        <w:rPr>
          <w:rFonts w:eastAsiaTheme="minorEastAsia"/>
          <w:szCs w:val="24"/>
        </w:rPr>
        <w:t xml:space="preserve"> and O</w:t>
      </w:r>
      <w:r w:rsidRPr="00FC3E0A">
        <w:rPr>
          <w:rFonts w:eastAsiaTheme="minorEastAsia"/>
          <w:szCs w:val="24"/>
          <w:vertAlign w:val="subscript"/>
        </w:rPr>
        <w:t>2</w:t>
      </w:r>
      <w:r w:rsidRPr="00FC3E0A">
        <w:rPr>
          <w:rFonts w:eastAsiaTheme="minorEastAsia"/>
          <w:szCs w:val="24"/>
        </w:rPr>
        <w:t xml:space="preserve">, respectively. </w:t>
      </w:r>
      <w:proofErr w:type="spellStart"/>
      <w:r w:rsidRPr="00C82E8E">
        <w:rPr>
          <w:rFonts w:eastAsiaTheme="minorEastAsia"/>
          <w:i/>
          <w:szCs w:val="24"/>
        </w:rPr>
        <w:t>V</w:t>
      </w:r>
      <w:r w:rsidRPr="00C82E8E">
        <w:rPr>
          <w:rFonts w:eastAsiaTheme="minorEastAsia"/>
          <w:i/>
          <w:szCs w:val="24"/>
          <w:vertAlign w:val="subscript"/>
        </w:rPr>
        <w:t>cmax</w:t>
      </w:r>
      <w:proofErr w:type="spellEnd"/>
      <w:r w:rsidRPr="00C82E8E">
        <w:rPr>
          <w:rFonts w:eastAsiaTheme="minorEastAsia"/>
          <w:i/>
          <w:szCs w:val="24"/>
          <w:vertAlign w:val="subscript"/>
        </w:rPr>
        <w:t xml:space="preserve"> </w:t>
      </w:r>
      <w:r w:rsidRPr="00FC3E0A">
        <w:rPr>
          <w:rFonts w:eastAsiaTheme="minorEastAsia"/>
          <w:szCs w:val="24"/>
        </w:rPr>
        <w:t>is calculated as:</w:t>
      </w:r>
    </w:p>
    <w:p w14:paraId="3516AA74" w14:textId="77777777" w:rsidR="00440A85" w:rsidRPr="00993651" w:rsidRDefault="00EA5F47" w:rsidP="00440A85">
      <w:pPr>
        <w:spacing w:line="360" w:lineRule="auto"/>
        <w:jc w:val="both"/>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cmax</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cmax</m:t>
                </m:r>
              </m:sub>
            </m:sSub>
            <m:r>
              <w:rPr>
                <w:rFonts w:ascii="Cambria Math" w:hAnsi="Cambria Math"/>
                <w:szCs w:val="24"/>
              </w:rPr>
              <m:t>25-</m:t>
            </m:r>
            <m:sSup>
              <m:sSupPr>
                <m:ctrlPr>
                  <w:rPr>
                    <w:rFonts w:ascii="Cambria Math" w:hAnsi="Cambria Math"/>
                    <w:i/>
                    <w:szCs w:val="24"/>
                  </w:rPr>
                </m:ctrlPr>
              </m:sSupPr>
              <m:e>
                <m:r>
                  <w:rPr>
                    <w:rFonts w:ascii="Cambria Math" w:hAnsi="Cambria Math"/>
                    <w:szCs w:val="24"/>
                  </w:rPr>
                  <m:t>2</m:t>
                </m:r>
              </m:e>
              <m:sup>
                <m:r>
                  <w:rPr>
                    <w:rFonts w:ascii="Cambria Math" w:hAnsi="Cambria Math"/>
                    <w:szCs w:val="24"/>
                  </w:rPr>
                  <m:t>0.1(</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-25)</m:t>
                </m:r>
              </m:sup>
            </m:sSup>
          </m:num>
          <m:den>
            <m:d>
              <m:dPr>
                <m:begChr m:val="["/>
                <m:endChr m:val="]"/>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0.3(</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upp</m:t>
                        </m:r>
                      </m:sub>
                    </m:sSub>
                    <m:r>
                      <w:rPr>
                        <w:rFonts w:ascii="Cambria Math" w:hAnsi="Cambria Math"/>
                        <w:szCs w:val="24"/>
                      </w:rPr>
                      <m:t>)</m:t>
                    </m:r>
                  </m:sup>
                </m:sSup>
              </m:e>
            </m:d>
            <m:d>
              <m:dPr>
                <m:begChr m:val="["/>
                <m:endChr m:val="]"/>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0.3(</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low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m:t>
                    </m:r>
                  </m:sup>
                </m:sSup>
              </m:e>
            </m:d>
          </m:den>
        </m:f>
      </m:oMath>
      <w:r w:rsidR="00440A85" w:rsidRPr="00993651">
        <w:rPr>
          <w:rFonts w:eastAsiaTheme="minorEastAsia"/>
          <w:szCs w:val="24"/>
        </w:rPr>
        <w:t xml:space="preserve"> </w:t>
      </w:r>
      <w:r w:rsidR="00440A85" w:rsidRPr="00993651">
        <w:rPr>
          <w:rFonts w:eastAsiaTheme="minorEastAsia"/>
          <w:szCs w:val="24"/>
        </w:rPr>
        <w:tab/>
      </w:r>
    </w:p>
    <w:p w14:paraId="3516AA75" w14:textId="77777777" w:rsidR="00440A85" w:rsidRPr="00FC3E0A" w:rsidRDefault="00440A85" w:rsidP="00440A85">
      <w:pPr>
        <w:spacing w:line="360" w:lineRule="auto"/>
        <w:jc w:val="both"/>
        <w:rPr>
          <w:rFonts w:eastAsiaTheme="minorEastAsia"/>
          <w:szCs w:val="24"/>
        </w:rPr>
      </w:pPr>
      <w:r w:rsidRPr="00993651">
        <w:rPr>
          <w:rFonts w:eastAsiaTheme="minorEastAsia"/>
          <w:szCs w:val="24"/>
        </w:rPr>
        <w:t xml:space="preserve">Where </w:t>
      </w:r>
      <w:r w:rsidRPr="00993651">
        <w:rPr>
          <w:rFonts w:eastAsiaTheme="minorEastAsia"/>
          <w:i/>
          <w:iCs/>
          <w:szCs w:val="24"/>
        </w:rPr>
        <w:t>T</w:t>
      </w:r>
      <w:r w:rsidRPr="00993651">
        <w:rPr>
          <w:rFonts w:eastAsiaTheme="minorEastAsia"/>
          <w:szCs w:val="24"/>
          <w:vertAlign w:val="subscript"/>
        </w:rPr>
        <w:t>c</w:t>
      </w:r>
      <w:r w:rsidRPr="00993651">
        <w:rPr>
          <w:rFonts w:eastAsiaTheme="minorEastAsia"/>
          <w:szCs w:val="24"/>
        </w:rPr>
        <w:t xml:space="preserve"> is the canopy temperature (C), assumed to be equal to </w:t>
      </w:r>
      <w:r w:rsidRPr="00993651">
        <w:rPr>
          <w:rFonts w:eastAsiaTheme="minorEastAsia"/>
          <w:i/>
          <w:iCs/>
          <w:szCs w:val="24"/>
        </w:rPr>
        <w:t>T</w:t>
      </w:r>
      <w:r w:rsidRPr="00993651">
        <w:rPr>
          <w:rFonts w:eastAsiaTheme="minorEastAsia"/>
          <w:szCs w:val="24"/>
          <w:vertAlign w:val="subscript"/>
        </w:rPr>
        <w:t>a</w:t>
      </w:r>
      <w:r w:rsidRPr="00993651">
        <w:rPr>
          <w:rFonts w:eastAsiaTheme="minorEastAsia"/>
          <w:szCs w:val="24"/>
        </w:rPr>
        <w:t xml:space="preserve"> in our study. The parameters </w:t>
      </w:r>
      <w:proofErr w:type="spellStart"/>
      <w:r w:rsidRPr="00FC3E0A">
        <w:rPr>
          <w:rFonts w:eastAsiaTheme="minorEastAsia"/>
          <w:i/>
          <w:iCs/>
          <w:szCs w:val="24"/>
        </w:rPr>
        <w:t>T</w:t>
      </w:r>
      <w:r w:rsidRPr="00FC3E0A">
        <w:rPr>
          <w:rFonts w:eastAsiaTheme="minorEastAsia"/>
          <w:szCs w:val="24"/>
          <w:vertAlign w:val="subscript"/>
        </w:rPr>
        <w:t>upp</w:t>
      </w:r>
      <w:proofErr w:type="spellEnd"/>
      <w:r w:rsidRPr="00FC3E0A">
        <w:rPr>
          <w:rFonts w:eastAsiaTheme="minorEastAsia"/>
          <w:szCs w:val="24"/>
        </w:rPr>
        <w:t xml:space="preserve"> and </w:t>
      </w:r>
      <w:proofErr w:type="spellStart"/>
      <w:r w:rsidRPr="00FC3E0A">
        <w:rPr>
          <w:rFonts w:eastAsiaTheme="minorEastAsia"/>
          <w:i/>
          <w:iCs/>
          <w:szCs w:val="24"/>
        </w:rPr>
        <w:t>T</w:t>
      </w:r>
      <w:r w:rsidRPr="00FC3E0A">
        <w:rPr>
          <w:rFonts w:eastAsiaTheme="minorEastAsia"/>
          <w:szCs w:val="24"/>
          <w:vertAlign w:val="subscript"/>
        </w:rPr>
        <w:t>low</w:t>
      </w:r>
      <w:proofErr w:type="spellEnd"/>
      <w:r w:rsidRPr="00FC3E0A">
        <w:rPr>
          <w:rFonts w:eastAsiaTheme="minorEastAsia"/>
          <w:szCs w:val="24"/>
        </w:rPr>
        <w:t xml:space="preserve"> define the optimal temperature range for Rubisco activity, and V</w:t>
      </w:r>
      <w:r w:rsidRPr="00FC3E0A">
        <w:rPr>
          <w:rFonts w:eastAsiaTheme="minorEastAsia"/>
          <w:szCs w:val="24"/>
          <w:vertAlign w:val="subscript"/>
        </w:rPr>
        <w:t xml:space="preserve">cmax25 </w:t>
      </w:r>
      <w:r w:rsidRPr="00FC3E0A">
        <w:rPr>
          <w:rFonts w:eastAsiaTheme="minorEastAsia"/>
          <w:szCs w:val="24"/>
        </w:rPr>
        <w:t xml:space="preserve">is </w:t>
      </w:r>
      <w:proofErr w:type="spellStart"/>
      <w:r w:rsidRPr="00FC3E0A">
        <w:rPr>
          <w:rFonts w:eastAsiaTheme="minorEastAsia"/>
          <w:szCs w:val="24"/>
        </w:rPr>
        <w:t>V</w:t>
      </w:r>
      <w:r w:rsidRPr="00FC3E0A">
        <w:rPr>
          <w:rFonts w:eastAsiaTheme="minorEastAsia"/>
          <w:szCs w:val="24"/>
          <w:vertAlign w:val="subscript"/>
        </w:rPr>
        <w:t>cmax</w:t>
      </w:r>
      <w:proofErr w:type="spellEnd"/>
      <w:r w:rsidRPr="00FC3E0A">
        <w:rPr>
          <w:rFonts w:eastAsiaTheme="minorEastAsia"/>
          <w:szCs w:val="24"/>
          <w:vertAlign w:val="subscript"/>
        </w:rPr>
        <w:t xml:space="preserve"> </w:t>
      </w:r>
      <w:r w:rsidRPr="00FC3E0A">
        <w:rPr>
          <w:rFonts w:eastAsiaTheme="minorEastAsia"/>
          <w:szCs w:val="24"/>
        </w:rPr>
        <w:t xml:space="preserve">at 25 °C. </w:t>
      </w:r>
    </w:p>
    <w:p w14:paraId="3516AA76" w14:textId="77777777" w:rsidR="00440A85" w:rsidRPr="00FC3E0A" w:rsidRDefault="00440A85" w:rsidP="00440A85">
      <w:pPr>
        <w:spacing w:line="360" w:lineRule="auto"/>
        <w:jc w:val="both"/>
        <w:rPr>
          <w:rFonts w:eastAsiaTheme="minorEastAsia"/>
          <w:szCs w:val="24"/>
        </w:rPr>
      </w:pPr>
      <w:r w:rsidRPr="00FC3E0A">
        <w:rPr>
          <w:rFonts w:eastAsiaTheme="minorEastAsia"/>
          <w:szCs w:val="24"/>
        </w:rPr>
        <w:tab/>
        <w:t>The photorespiration compensation point, Γ is calculated as:</w:t>
      </w:r>
    </w:p>
    <w:p w14:paraId="3516AA77" w14:textId="77777777" w:rsidR="00440A85" w:rsidRPr="00993651" w:rsidRDefault="00440A85" w:rsidP="00440A85">
      <w:pPr>
        <w:spacing w:line="360" w:lineRule="auto"/>
        <w:jc w:val="both"/>
        <w:rPr>
          <w:rFonts w:eastAsiaTheme="minorEastAsia"/>
          <w:szCs w:val="24"/>
        </w:rPr>
      </w:pPr>
      <m:oMathPara>
        <m:oMathParaPr>
          <m:jc m:val="left"/>
        </m:oMathParaPr>
        <m:oMath>
          <m:r>
            <w:rPr>
              <w:rFonts w:ascii="Cambria Math" w:eastAsiaTheme="minorEastAsia" w:hAnsi="Cambria Math"/>
              <w:szCs w:val="24"/>
            </w:rPr>
            <m:t>Γ=</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O</m:t>
                  </m:r>
                </m:e>
                <m:sub>
                  <m:r>
                    <w:rPr>
                      <w:rFonts w:ascii="Cambria Math" w:eastAsiaTheme="minorEastAsia" w:hAnsi="Cambria Math"/>
                      <w:szCs w:val="24"/>
                    </w:rPr>
                    <m:t>a</m:t>
                  </m:r>
                </m:sub>
              </m:sSub>
            </m:num>
            <m:den>
              <m:r>
                <w:rPr>
                  <w:rFonts w:ascii="Cambria Math" w:eastAsiaTheme="minorEastAsia" w:hAnsi="Cambria Math"/>
                  <w:szCs w:val="24"/>
                </w:rPr>
                <m:t>2τ</m:t>
              </m:r>
            </m:den>
          </m:f>
        </m:oMath>
      </m:oMathPara>
    </w:p>
    <w:p w14:paraId="3516AA78" w14:textId="77777777" w:rsidR="00440A85" w:rsidRPr="00993651" w:rsidRDefault="00440A85" w:rsidP="00440A85">
      <w:pPr>
        <w:spacing w:line="360" w:lineRule="auto"/>
        <w:jc w:val="both"/>
        <w:rPr>
          <w:rFonts w:eastAsiaTheme="minorEastAsia"/>
          <w:szCs w:val="24"/>
        </w:rPr>
      </w:pPr>
      <w:r w:rsidRPr="00993651">
        <w:rPr>
          <w:rFonts w:eastAsiaTheme="minorEastAsia"/>
          <w:szCs w:val="24"/>
        </w:rPr>
        <w:t>where τ is:</w:t>
      </w:r>
    </w:p>
    <w:p w14:paraId="3516AA79" w14:textId="77777777" w:rsidR="00440A85" w:rsidRPr="00993651" w:rsidRDefault="00440A85" w:rsidP="00440A85">
      <w:pPr>
        <w:spacing w:line="360" w:lineRule="auto"/>
        <w:jc w:val="both"/>
        <w:rPr>
          <w:rFonts w:eastAsiaTheme="minorEastAsia"/>
          <w:szCs w:val="24"/>
        </w:rPr>
      </w:pPr>
      <m:oMathPara>
        <m:oMathParaPr>
          <m:jc m:val="left"/>
        </m:oMathParaPr>
        <m:oMath>
          <m:r>
            <w:rPr>
              <w:rFonts w:ascii="Cambria Math" w:eastAsiaTheme="minorEastAsia" w:hAnsi="Cambria Math"/>
              <w:szCs w:val="24"/>
            </w:rPr>
            <m:t>τ=2600[</m:t>
          </m:r>
          <m:sSup>
            <m:sSupPr>
              <m:ctrlPr>
                <w:rPr>
                  <w:rFonts w:ascii="Cambria Math" w:eastAsiaTheme="minorEastAsia" w:hAnsi="Cambria Math"/>
                  <w:i/>
                  <w:szCs w:val="24"/>
                </w:rPr>
              </m:ctrlPr>
            </m:sSupPr>
            <m:e>
              <m:r>
                <w:rPr>
                  <w:rFonts w:ascii="Cambria Math" w:eastAsiaTheme="minorEastAsia" w:hAnsi="Cambria Math"/>
                  <w:szCs w:val="24"/>
                </w:rPr>
                <m:t>0.57</m:t>
              </m:r>
            </m:e>
            <m:sup>
              <m:r>
                <w:rPr>
                  <w:rFonts w:ascii="Cambria Math" w:eastAsiaTheme="minorEastAsia" w:hAnsi="Cambria Math"/>
                  <w:szCs w:val="24"/>
                </w:rPr>
                <m:t>0.1</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c</m:t>
                      </m:r>
                    </m:sub>
                  </m:sSub>
                  <m:r>
                    <w:rPr>
                      <w:rFonts w:ascii="Cambria Math" w:eastAsiaTheme="minorEastAsia" w:hAnsi="Cambria Math"/>
                      <w:szCs w:val="24"/>
                    </w:rPr>
                    <m:t>-25</m:t>
                  </m:r>
                </m:e>
              </m:d>
            </m:sup>
          </m:sSup>
          <m:r>
            <w:rPr>
              <w:rFonts w:ascii="Cambria Math" w:eastAsiaTheme="minorEastAsia" w:hAnsi="Cambria Math"/>
              <w:szCs w:val="24"/>
            </w:rPr>
            <m:t>]</m:t>
          </m:r>
        </m:oMath>
      </m:oMathPara>
    </w:p>
    <w:p w14:paraId="3516AA7A" w14:textId="77777777" w:rsidR="00440A85" w:rsidRPr="00993651" w:rsidRDefault="00440A85" w:rsidP="00440A85">
      <w:pPr>
        <w:spacing w:line="360" w:lineRule="auto"/>
        <w:jc w:val="both"/>
        <w:rPr>
          <w:rFonts w:eastAsiaTheme="minorEastAsia"/>
          <w:szCs w:val="24"/>
        </w:rPr>
      </w:pPr>
      <w:r w:rsidRPr="00993651">
        <w:rPr>
          <w:rFonts w:eastAsiaTheme="minorEastAsia"/>
          <w:i/>
          <w:iCs/>
          <w:szCs w:val="24"/>
        </w:rPr>
        <w:t>K</w:t>
      </w:r>
      <w:r w:rsidRPr="00993651">
        <w:rPr>
          <w:rFonts w:eastAsiaTheme="minorEastAsia"/>
          <w:szCs w:val="24"/>
          <w:vertAlign w:val="subscript"/>
        </w:rPr>
        <w:t>c</w:t>
      </w:r>
      <w:r w:rsidRPr="00993651">
        <w:rPr>
          <w:rFonts w:eastAsiaTheme="minorEastAsia"/>
          <w:szCs w:val="24"/>
        </w:rPr>
        <w:t xml:space="preserve"> and </w:t>
      </w:r>
      <w:r w:rsidRPr="00993651">
        <w:rPr>
          <w:rFonts w:eastAsiaTheme="minorEastAsia"/>
          <w:i/>
          <w:iCs/>
          <w:szCs w:val="24"/>
        </w:rPr>
        <w:t>K</w:t>
      </w:r>
      <w:r w:rsidRPr="00993651">
        <w:rPr>
          <w:rFonts w:eastAsiaTheme="minorEastAsia"/>
          <w:szCs w:val="24"/>
          <w:vertAlign w:val="subscript"/>
        </w:rPr>
        <w:t>o</w:t>
      </w:r>
      <w:r w:rsidRPr="00993651">
        <w:rPr>
          <w:rFonts w:eastAsiaTheme="minorEastAsia"/>
          <w:szCs w:val="24"/>
        </w:rPr>
        <w:t xml:space="preserve"> are given by:</w:t>
      </w:r>
    </w:p>
    <w:p w14:paraId="3516AA7B" w14:textId="77777777" w:rsidR="00440A85" w:rsidRPr="00993651" w:rsidRDefault="00EA5F47" w:rsidP="00440A85">
      <w:pPr>
        <w:spacing w:line="360" w:lineRule="auto"/>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c</m:t>
              </m:r>
            </m:sub>
          </m:sSub>
          <m:r>
            <w:rPr>
              <w:rFonts w:ascii="Cambria Math" w:eastAsiaTheme="minorEastAsia" w:hAnsi="Cambria Math"/>
              <w:szCs w:val="24"/>
            </w:rPr>
            <m:t>=30[</m:t>
          </m:r>
          <m:sSup>
            <m:sSupPr>
              <m:ctrlPr>
                <w:rPr>
                  <w:rFonts w:ascii="Cambria Math" w:eastAsiaTheme="minorEastAsia" w:hAnsi="Cambria Math"/>
                  <w:i/>
                  <w:szCs w:val="24"/>
                </w:rPr>
              </m:ctrlPr>
            </m:sSupPr>
            <m:e>
              <m:r>
                <w:rPr>
                  <w:rFonts w:ascii="Cambria Math" w:eastAsiaTheme="minorEastAsia" w:hAnsi="Cambria Math"/>
                  <w:szCs w:val="24"/>
                </w:rPr>
                <m:t>2.1</m:t>
              </m:r>
            </m:e>
            <m:sup>
              <m:r>
                <w:rPr>
                  <w:rFonts w:ascii="Cambria Math" w:eastAsiaTheme="minorEastAsia" w:hAnsi="Cambria Math"/>
                  <w:szCs w:val="24"/>
                </w:rPr>
                <m:t>0.1</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c</m:t>
                      </m:r>
                    </m:sub>
                  </m:sSub>
                  <m:r>
                    <w:rPr>
                      <w:rFonts w:ascii="Cambria Math" w:eastAsiaTheme="minorEastAsia" w:hAnsi="Cambria Math"/>
                      <w:szCs w:val="24"/>
                    </w:rPr>
                    <m:t>-25</m:t>
                  </m:r>
                </m:e>
              </m:d>
            </m:sup>
          </m:sSup>
          <m:r>
            <w:rPr>
              <w:rFonts w:ascii="Cambria Math" w:eastAsiaTheme="minorEastAsia" w:hAnsi="Cambria Math"/>
              <w:szCs w:val="24"/>
            </w:rPr>
            <m:t>]</m:t>
          </m:r>
        </m:oMath>
      </m:oMathPara>
    </w:p>
    <w:p w14:paraId="3516AA7C" w14:textId="77777777" w:rsidR="00440A85" w:rsidRPr="00993651" w:rsidRDefault="00440A85" w:rsidP="00440A85">
      <w:pPr>
        <w:spacing w:line="360" w:lineRule="auto"/>
        <w:jc w:val="both"/>
        <w:rPr>
          <w:rFonts w:eastAsiaTheme="minorEastAsia"/>
          <w:szCs w:val="24"/>
        </w:rPr>
      </w:pPr>
      <w:r w:rsidRPr="00993651">
        <w:rPr>
          <w:rFonts w:eastAsiaTheme="minorEastAsia"/>
          <w:szCs w:val="24"/>
        </w:rPr>
        <w:t>and</w:t>
      </w:r>
      <w:r w:rsidR="00980095" w:rsidRPr="00993651">
        <w:rPr>
          <w:rFonts w:eastAsiaTheme="minorEastAsia"/>
          <w:szCs w:val="24"/>
        </w:rPr>
        <w:t>:</w:t>
      </w:r>
    </w:p>
    <w:p w14:paraId="3516AA7D" w14:textId="77777777" w:rsidR="00440A85" w:rsidRPr="00993651" w:rsidRDefault="00EA5F47" w:rsidP="00440A85">
      <w:pPr>
        <w:spacing w:line="360" w:lineRule="auto"/>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o</m:t>
              </m:r>
            </m:sub>
          </m:sSub>
          <m:r>
            <w:rPr>
              <w:rFonts w:ascii="Cambria Math" w:eastAsiaTheme="minorEastAsia" w:hAnsi="Cambria Math"/>
              <w:szCs w:val="24"/>
            </w:rPr>
            <m:t>=3×</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4</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1.2</m:t>
              </m:r>
            </m:e>
            <m:sup>
              <m:r>
                <w:rPr>
                  <w:rFonts w:ascii="Cambria Math" w:eastAsiaTheme="minorEastAsia" w:hAnsi="Cambria Math"/>
                  <w:szCs w:val="24"/>
                </w:rPr>
                <m:t>0.1</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c</m:t>
                      </m:r>
                    </m:sub>
                  </m:sSub>
                  <m:r>
                    <w:rPr>
                      <w:rFonts w:ascii="Cambria Math" w:eastAsiaTheme="minorEastAsia" w:hAnsi="Cambria Math"/>
                      <w:szCs w:val="24"/>
                    </w:rPr>
                    <m:t>-25</m:t>
                  </m:r>
                </m:e>
              </m:d>
            </m:sup>
          </m:sSup>
          <m:r>
            <w:rPr>
              <w:rFonts w:ascii="Cambria Math" w:eastAsiaTheme="minorEastAsia" w:hAnsi="Cambria Math"/>
              <w:szCs w:val="24"/>
            </w:rPr>
            <m:t>]</m:t>
          </m:r>
        </m:oMath>
      </m:oMathPara>
    </w:p>
    <w:p w14:paraId="3516AA7E" w14:textId="77777777" w:rsidR="00440A85" w:rsidRPr="00993651" w:rsidRDefault="00440A85" w:rsidP="00440A85">
      <w:pPr>
        <w:spacing w:line="360" w:lineRule="auto"/>
        <w:ind w:firstLine="720"/>
        <w:jc w:val="both"/>
        <w:rPr>
          <w:rFonts w:eastAsiaTheme="minorEastAsia"/>
          <w:szCs w:val="24"/>
        </w:rPr>
      </w:pPr>
      <w:r w:rsidRPr="00993651">
        <w:rPr>
          <w:rFonts w:eastAsiaTheme="minorEastAsia"/>
          <w:szCs w:val="24"/>
        </w:rPr>
        <w:t>The light limited photosynthesis rate (</w:t>
      </w:r>
      <w:proofErr w:type="spellStart"/>
      <w:r w:rsidRPr="00993651">
        <w:rPr>
          <w:rFonts w:eastAsiaTheme="minorEastAsia"/>
          <w:i/>
          <w:iCs/>
          <w:szCs w:val="24"/>
        </w:rPr>
        <w:t>W</w:t>
      </w:r>
      <w:r w:rsidRPr="00993651">
        <w:rPr>
          <w:rFonts w:eastAsiaTheme="minorEastAsia"/>
          <w:szCs w:val="24"/>
          <w:vertAlign w:val="subscript"/>
        </w:rPr>
        <w:t>l</w:t>
      </w:r>
      <w:proofErr w:type="spellEnd"/>
      <w:r w:rsidRPr="00993651">
        <w:rPr>
          <w:rFonts w:eastAsiaTheme="minorEastAsia"/>
          <w:szCs w:val="24"/>
        </w:rPr>
        <w:t>) is given by:</w:t>
      </w:r>
    </w:p>
    <w:p w14:paraId="3516AA7F" w14:textId="2F85BEF5" w:rsidR="00440A85" w:rsidRPr="00993651" w:rsidRDefault="00EA5F47" w:rsidP="00440A85">
      <w:pPr>
        <w:spacing w:line="360" w:lineRule="auto"/>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l</m:t>
              </m:r>
            </m:sub>
          </m:sSub>
          <m:r>
            <w:rPr>
              <w:rFonts w:ascii="Cambria Math" w:eastAsiaTheme="minorEastAsia" w:hAnsi="Cambria Math"/>
              <w:szCs w:val="24"/>
            </w:rPr>
            <m:t>= α(1-ω</m:t>
          </m:r>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par</m:t>
              </m:r>
            </m:sub>
          </m:sSub>
          <m:d>
            <m:dPr>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i</m:t>
                      </m:r>
                    </m:sub>
                  </m:sSub>
                  <m:r>
                    <w:rPr>
                      <w:rFonts w:ascii="Cambria Math" w:eastAsiaTheme="minorEastAsia" w:hAnsi="Cambria Math"/>
                      <w:szCs w:val="24"/>
                    </w:rPr>
                    <m:t>-Γ</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i</m:t>
                      </m:r>
                    </m:sub>
                  </m:sSub>
                  <m:r>
                    <w:rPr>
                      <w:rFonts w:ascii="Cambria Math" w:eastAsiaTheme="minorEastAsia" w:hAnsi="Cambria Math"/>
                      <w:szCs w:val="24"/>
                    </w:rPr>
                    <m:t>+2Γ</m:t>
                  </m:r>
                </m:den>
              </m:f>
            </m:e>
          </m:d>
        </m:oMath>
      </m:oMathPara>
    </w:p>
    <w:p w14:paraId="3516AA83" w14:textId="06A6EBFC" w:rsidR="00440A85" w:rsidRPr="00993651" w:rsidRDefault="00440A85">
      <w:pPr>
        <w:spacing w:line="360" w:lineRule="auto"/>
        <w:jc w:val="both"/>
        <w:rPr>
          <w:rFonts w:eastAsiaTheme="minorEastAsia"/>
          <w:szCs w:val="24"/>
        </w:rPr>
      </w:pPr>
      <w:r w:rsidRPr="00993651">
        <w:rPr>
          <w:rFonts w:eastAsiaTheme="minorEastAsia"/>
          <w:szCs w:val="24"/>
        </w:rPr>
        <w:t>where α is the quantum efficiency of photosynthesis (mol mol</w:t>
      </w:r>
      <w:r w:rsidRPr="00993651">
        <w:rPr>
          <w:rFonts w:eastAsiaTheme="minorEastAsia"/>
          <w:szCs w:val="24"/>
          <w:vertAlign w:val="superscript"/>
        </w:rPr>
        <w:t>-1</w:t>
      </w:r>
      <w:r w:rsidRPr="00993651">
        <w:rPr>
          <w:rFonts w:eastAsiaTheme="minorEastAsia"/>
          <w:szCs w:val="24"/>
        </w:rPr>
        <w:t>), ω is the leaf scattering coefficient (</w:t>
      </w:r>
      <w:proofErr w:type="spellStart"/>
      <w:r w:rsidRPr="00993651">
        <w:rPr>
          <w:rFonts w:eastAsiaTheme="minorEastAsia"/>
          <w:szCs w:val="24"/>
        </w:rPr>
        <w:t>unitless</w:t>
      </w:r>
      <w:proofErr w:type="spellEnd"/>
      <w:r w:rsidRPr="00993651">
        <w:rPr>
          <w:rFonts w:eastAsiaTheme="minorEastAsia"/>
          <w:szCs w:val="24"/>
        </w:rPr>
        <w:t xml:space="preserve">) and </w:t>
      </w:r>
      <w:proofErr w:type="spellStart"/>
      <w:r w:rsidRPr="00993651">
        <w:rPr>
          <w:rFonts w:eastAsiaTheme="minorEastAsia"/>
          <w:i/>
          <w:iCs/>
          <w:szCs w:val="24"/>
        </w:rPr>
        <w:t>I</w:t>
      </w:r>
      <w:r w:rsidRPr="00993651">
        <w:rPr>
          <w:rFonts w:eastAsiaTheme="minorEastAsia"/>
          <w:szCs w:val="24"/>
          <w:vertAlign w:val="subscript"/>
        </w:rPr>
        <w:t>par</w:t>
      </w:r>
      <w:proofErr w:type="spellEnd"/>
      <w:r w:rsidRPr="00FC3E0A">
        <w:rPr>
          <w:rFonts w:eastAsiaTheme="minorEastAsia"/>
          <w:szCs w:val="24"/>
        </w:rPr>
        <w:t xml:space="preserve"> the photosynthetically active radiation </w:t>
      </w:r>
      <w:r w:rsidR="00980095" w:rsidRPr="00FC3E0A">
        <w:rPr>
          <w:rFonts w:eastAsiaTheme="minorEastAsia"/>
          <w:szCs w:val="24"/>
        </w:rPr>
        <w:t xml:space="preserve">incident on the leaf </w:t>
      </w:r>
      <w:r w:rsidRPr="00FC3E0A">
        <w:rPr>
          <w:rFonts w:eastAsiaTheme="minorEastAsia"/>
          <w:szCs w:val="24"/>
        </w:rPr>
        <w:t>(mol m</w:t>
      </w:r>
      <w:r w:rsidRPr="00FC3E0A">
        <w:rPr>
          <w:rFonts w:eastAsiaTheme="minorEastAsia"/>
          <w:szCs w:val="24"/>
          <w:vertAlign w:val="superscript"/>
        </w:rPr>
        <w:t>-2</w:t>
      </w:r>
      <w:r w:rsidRPr="00FC3E0A">
        <w:rPr>
          <w:rFonts w:eastAsiaTheme="minorEastAsia"/>
          <w:szCs w:val="24"/>
        </w:rPr>
        <w:t xml:space="preserve"> s</w:t>
      </w:r>
      <w:r w:rsidRPr="00FC3E0A">
        <w:rPr>
          <w:rFonts w:eastAsiaTheme="minorEastAsia"/>
          <w:szCs w:val="24"/>
          <w:vertAlign w:val="superscript"/>
        </w:rPr>
        <w:t>-1</w:t>
      </w:r>
      <w:r w:rsidRPr="00FC3E0A">
        <w:rPr>
          <w:rFonts w:eastAsiaTheme="minorEastAsia"/>
          <w:szCs w:val="24"/>
        </w:rPr>
        <w:t xml:space="preserve">). </w:t>
      </w:r>
    </w:p>
    <w:p w14:paraId="3516AA85" w14:textId="77777777" w:rsidR="00440A85" w:rsidRPr="00993651" w:rsidRDefault="00440A85" w:rsidP="00440A85">
      <w:pPr>
        <w:spacing w:line="360" w:lineRule="auto"/>
        <w:ind w:firstLine="720"/>
        <w:jc w:val="both"/>
        <w:rPr>
          <w:rFonts w:eastAsiaTheme="minorEastAsia"/>
          <w:szCs w:val="24"/>
        </w:rPr>
      </w:pPr>
      <w:r w:rsidRPr="00993651">
        <w:rPr>
          <w:rFonts w:eastAsiaTheme="minorEastAsia"/>
          <w:szCs w:val="24"/>
        </w:rPr>
        <w:t>The transport limited photosynthesis rate (</w:t>
      </w:r>
      <w:r w:rsidRPr="00993651">
        <w:rPr>
          <w:rFonts w:eastAsiaTheme="minorEastAsia"/>
          <w:i/>
          <w:iCs/>
          <w:szCs w:val="24"/>
        </w:rPr>
        <w:t>W</w:t>
      </w:r>
      <w:r w:rsidRPr="00993651">
        <w:rPr>
          <w:rFonts w:eastAsiaTheme="minorEastAsia"/>
          <w:szCs w:val="24"/>
          <w:vertAlign w:val="subscript"/>
        </w:rPr>
        <w:t>e</w:t>
      </w:r>
      <w:r w:rsidRPr="00993651">
        <w:rPr>
          <w:rFonts w:eastAsiaTheme="minorEastAsia"/>
          <w:szCs w:val="24"/>
        </w:rPr>
        <w:t>) is given by:</w:t>
      </w:r>
    </w:p>
    <w:p w14:paraId="3516AA86" w14:textId="77777777" w:rsidR="00440A85" w:rsidRPr="00993651" w:rsidRDefault="00EA5F47" w:rsidP="00440A85">
      <w:pPr>
        <w:spacing w:line="360" w:lineRule="auto"/>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e</m:t>
              </m:r>
            </m:sub>
          </m:sSub>
          <m:r>
            <w:rPr>
              <w:rFonts w:ascii="Cambria Math" w:eastAsiaTheme="minorEastAsia" w:hAnsi="Cambria Math"/>
              <w:szCs w:val="24"/>
            </w:rPr>
            <m:t>=0.5</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cmax</m:t>
              </m:r>
            </m:sub>
          </m:sSub>
        </m:oMath>
      </m:oMathPara>
    </w:p>
    <w:p w14:paraId="3516AA87" w14:textId="77777777" w:rsidR="00440A85" w:rsidRPr="00993651" w:rsidRDefault="00440A85" w:rsidP="00440A85">
      <w:pPr>
        <w:spacing w:line="360" w:lineRule="auto"/>
        <w:ind w:firstLine="720"/>
        <w:jc w:val="both"/>
        <w:rPr>
          <w:rFonts w:eastAsiaTheme="minorEastAsia"/>
          <w:szCs w:val="24"/>
        </w:rPr>
      </w:pPr>
      <w:r w:rsidRPr="00993651">
        <w:rPr>
          <w:rFonts w:eastAsiaTheme="minorEastAsia"/>
          <w:szCs w:val="24"/>
        </w:rPr>
        <w:t xml:space="preserve">The smoothed minimum of the three rates (i.e. </w:t>
      </w:r>
      <w:r w:rsidRPr="00993651">
        <w:rPr>
          <w:rFonts w:eastAsiaTheme="minorEastAsia"/>
          <w:i/>
          <w:iCs/>
          <w:szCs w:val="24"/>
        </w:rPr>
        <w:t>A</w:t>
      </w:r>
      <w:r w:rsidRPr="00993651">
        <w:rPr>
          <w:rFonts w:eastAsiaTheme="minorEastAsia"/>
          <w:szCs w:val="24"/>
        </w:rPr>
        <w:t xml:space="preserve">) </w:t>
      </w:r>
      <w:r w:rsidR="00B250F6" w:rsidRPr="00993651">
        <w:rPr>
          <w:rFonts w:eastAsiaTheme="minorEastAsia"/>
          <w:szCs w:val="24"/>
        </w:rPr>
        <w:t xml:space="preserve">is </w:t>
      </w:r>
      <w:r w:rsidRPr="00993651">
        <w:rPr>
          <w:rFonts w:eastAsiaTheme="minorEastAsia"/>
          <w:szCs w:val="24"/>
        </w:rPr>
        <w:t>calculated by solving for the smaller root of each of the following quadratic equations:</w:t>
      </w:r>
    </w:p>
    <w:p w14:paraId="3516AA88" w14:textId="77777777" w:rsidR="00440A85" w:rsidRPr="00993651" w:rsidRDefault="00EA5F47" w:rsidP="00440A85">
      <w:pPr>
        <w:spacing w:line="360" w:lineRule="auto"/>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β</m:t>
              </m:r>
            </m:e>
            <m:sub>
              <m:r>
                <w:rPr>
                  <w:rFonts w:ascii="Cambria Math" w:eastAsiaTheme="minorEastAsia" w:hAnsi="Cambria Math"/>
                  <w:szCs w:val="24"/>
                </w:rPr>
                <m:t>1</m:t>
              </m:r>
            </m:sub>
          </m:sSub>
          <m:sSubSup>
            <m:sSubSupPr>
              <m:ctrlPr>
                <w:rPr>
                  <w:rFonts w:ascii="Cambria Math" w:eastAsiaTheme="minorEastAsia" w:hAnsi="Cambria Math"/>
                  <w:i/>
                  <w:szCs w:val="24"/>
                </w:rPr>
              </m:ctrlPr>
            </m:sSubSupPr>
            <m:e>
              <m:r>
                <w:rPr>
                  <w:rFonts w:ascii="Cambria Math" w:eastAsiaTheme="minorEastAsia" w:hAnsi="Cambria Math"/>
                  <w:szCs w:val="24"/>
                </w:rPr>
                <m:t>W</m:t>
              </m:r>
            </m:e>
            <m:sub>
              <m:r>
                <w:rPr>
                  <w:rFonts w:ascii="Cambria Math" w:eastAsiaTheme="minorEastAsia" w:hAnsi="Cambria Math"/>
                  <w:szCs w:val="24"/>
                </w:rPr>
                <m:t>p</m:t>
              </m:r>
            </m:sub>
            <m:sup>
              <m:r>
                <w:rPr>
                  <w:rFonts w:ascii="Cambria Math" w:eastAsiaTheme="minorEastAsia" w:hAnsi="Cambria Math"/>
                  <w:szCs w:val="24"/>
                </w:rPr>
                <m:t>2</m:t>
              </m:r>
            </m:sup>
          </m:sSubSup>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p</m:t>
              </m:r>
            </m:sub>
          </m:sSub>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l</m:t>
                  </m:r>
                </m:sub>
              </m:sSub>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c</m:t>
              </m:r>
            </m:sub>
          </m:sSub>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l</m:t>
              </m:r>
            </m:sub>
          </m:sSub>
          <m:r>
            <w:rPr>
              <w:rFonts w:ascii="Cambria Math" w:eastAsiaTheme="minorEastAsia" w:hAnsi="Cambria Math"/>
              <w:szCs w:val="24"/>
            </w:rPr>
            <m:t>=0</m:t>
          </m:r>
        </m:oMath>
      </m:oMathPara>
    </w:p>
    <w:p w14:paraId="3516AA89" w14:textId="77777777" w:rsidR="00440A85" w:rsidRPr="00993651" w:rsidRDefault="00EA5F47" w:rsidP="00440A85">
      <w:pPr>
        <w:spacing w:line="360" w:lineRule="auto"/>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β</m:t>
              </m:r>
            </m:e>
            <m:sub>
              <m:r>
                <w:rPr>
                  <w:rFonts w:ascii="Cambria Math" w:eastAsiaTheme="minorEastAsia" w:hAnsi="Cambria Math"/>
                  <w:szCs w:val="24"/>
                </w:rPr>
                <m:t>2</m:t>
              </m:r>
            </m:sub>
          </m:sSub>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2</m:t>
              </m:r>
            </m:sup>
          </m:sSup>
          <m:r>
            <w:rPr>
              <w:rFonts w:ascii="Cambria Math" w:eastAsiaTheme="minorEastAsia" w:hAnsi="Cambria Math"/>
              <w:szCs w:val="24"/>
            </w:rPr>
            <m:t>-A</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p</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e</m:t>
                  </m:r>
                </m:sub>
              </m:sSub>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p</m:t>
              </m:r>
            </m:sub>
          </m:sSub>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e</m:t>
              </m:r>
            </m:sub>
          </m:sSub>
          <m:r>
            <w:rPr>
              <w:rFonts w:ascii="Cambria Math" w:eastAsiaTheme="minorEastAsia" w:hAnsi="Cambria Math"/>
              <w:szCs w:val="24"/>
            </w:rPr>
            <m:t>=0</m:t>
          </m:r>
        </m:oMath>
      </m:oMathPara>
    </w:p>
    <w:p w14:paraId="3DF311B1" w14:textId="335F1B4A" w:rsidR="006D3019" w:rsidRDefault="00440A85" w:rsidP="00440A85">
      <w:pPr>
        <w:spacing w:line="360" w:lineRule="auto"/>
        <w:jc w:val="both"/>
        <w:rPr>
          <w:rFonts w:eastAsiaTheme="minorEastAsia"/>
          <w:szCs w:val="24"/>
        </w:rPr>
      </w:pPr>
      <w:r w:rsidRPr="00993651">
        <w:rPr>
          <w:rFonts w:eastAsiaTheme="minorEastAsia"/>
          <w:szCs w:val="24"/>
        </w:rPr>
        <w:t xml:space="preserve">where </w:t>
      </w:r>
      <w:proofErr w:type="spellStart"/>
      <w:r w:rsidRPr="00993651">
        <w:rPr>
          <w:rFonts w:eastAsiaTheme="minorEastAsia"/>
          <w:i/>
          <w:iCs/>
          <w:szCs w:val="24"/>
        </w:rPr>
        <w:t>W</w:t>
      </w:r>
      <w:r w:rsidRPr="00993651">
        <w:rPr>
          <w:rFonts w:eastAsiaTheme="minorEastAsia"/>
          <w:szCs w:val="24"/>
          <w:vertAlign w:val="subscript"/>
        </w:rPr>
        <w:t>p</w:t>
      </w:r>
      <w:proofErr w:type="spellEnd"/>
      <w:r w:rsidRPr="00993651">
        <w:rPr>
          <w:rFonts w:eastAsiaTheme="minorEastAsia"/>
          <w:szCs w:val="24"/>
        </w:rPr>
        <w:t xml:space="preserve"> is the smoothed minimum of </w:t>
      </w:r>
      <w:proofErr w:type="spellStart"/>
      <w:r w:rsidRPr="00993651">
        <w:rPr>
          <w:rFonts w:eastAsiaTheme="minorEastAsia"/>
          <w:i/>
          <w:iCs/>
          <w:szCs w:val="24"/>
        </w:rPr>
        <w:t>W</w:t>
      </w:r>
      <w:r w:rsidRPr="00993651">
        <w:rPr>
          <w:rFonts w:eastAsiaTheme="minorEastAsia"/>
          <w:szCs w:val="24"/>
          <w:vertAlign w:val="subscript"/>
        </w:rPr>
        <w:t>c</w:t>
      </w:r>
      <w:proofErr w:type="spellEnd"/>
      <w:r w:rsidRPr="00FC3E0A">
        <w:rPr>
          <w:rFonts w:eastAsiaTheme="minorEastAsia"/>
          <w:i/>
          <w:iCs/>
          <w:szCs w:val="24"/>
        </w:rPr>
        <w:t xml:space="preserve"> </w:t>
      </w:r>
      <w:r w:rsidRPr="00FC3E0A">
        <w:rPr>
          <w:rFonts w:eastAsiaTheme="minorEastAsia"/>
          <w:szCs w:val="24"/>
        </w:rPr>
        <w:t xml:space="preserve">and </w:t>
      </w:r>
      <w:proofErr w:type="spellStart"/>
      <w:r w:rsidRPr="00FC3E0A">
        <w:rPr>
          <w:rFonts w:eastAsiaTheme="minorEastAsia"/>
          <w:i/>
          <w:iCs/>
          <w:szCs w:val="24"/>
        </w:rPr>
        <w:t>W</w:t>
      </w:r>
      <w:r w:rsidRPr="00FC3E0A">
        <w:rPr>
          <w:rFonts w:eastAsiaTheme="minorEastAsia"/>
          <w:szCs w:val="24"/>
          <w:vertAlign w:val="subscript"/>
        </w:rPr>
        <w:t>l</w:t>
      </w:r>
      <w:proofErr w:type="spellEnd"/>
      <w:r w:rsidRPr="00FC3E0A">
        <w:rPr>
          <w:rFonts w:eastAsiaTheme="minorEastAsia"/>
          <w:i/>
          <w:iCs/>
          <w:szCs w:val="24"/>
        </w:rPr>
        <w:t xml:space="preserve">, </w:t>
      </w:r>
      <w:r w:rsidRPr="00FC3E0A">
        <w:rPr>
          <w:rFonts w:eastAsiaTheme="minorEastAsia"/>
          <w:szCs w:val="24"/>
        </w:rPr>
        <w:t>β</w:t>
      </w:r>
      <w:r w:rsidRPr="00FC3E0A">
        <w:rPr>
          <w:rFonts w:eastAsiaTheme="minorEastAsia"/>
          <w:szCs w:val="24"/>
          <w:vertAlign w:val="subscript"/>
        </w:rPr>
        <w:t>1</w:t>
      </w:r>
      <w:r w:rsidRPr="00FC3E0A">
        <w:rPr>
          <w:rFonts w:eastAsiaTheme="minorEastAsia"/>
          <w:szCs w:val="24"/>
        </w:rPr>
        <w:t xml:space="preserve"> and β</w:t>
      </w:r>
      <w:r w:rsidRPr="00FC3E0A">
        <w:rPr>
          <w:rFonts w:eastAsiaTheme="minorEastAsia"/>
          <w:szCs w:val="24"/>
          <w:vertAlign w:val="subscript"/>
        </w:rPr>
        <w:t xml:space="preserve">2 </w:t>
      </w:r>
      <w:r w:rsidRPr="00FC3E0A">
        <w:rPr>
          <w:rFonts w:eastAsiaTheme="minorEastAsia"/>
          <w:szCs w:val="24"/>
        </w:rPr>
        <w:t xml:space="preserve">are the co-limitation coefficients, set to 0.83 and 0.93, respectively </w:t>
      </w:r>
      <w:r w:rsidRPr="00993651">
        <w:rPr>
          <w:rFonts w:eastAsiaTheme="minorEastAsia"/>
          <w:i/>
          <w:szCs w:val="24"/>
        </w:rPr>
        <w:fldChar w:fldCharType="begin" w:fldLock="1"/>
      </w:r>
      <w:r w:rsidR="00FA51AF">
        <w:rPr>
          <w:rFonts w:eastAsiaTheme="minorEastAsia"/>
          <w:i/>
          <w:szCs w:val="24"/>
        </w:rPr>
        <w:instrText>ADDIN CSL_CITATION {"citationItems":[{"id":"ITEM-1","itemData":{"DOI":"10.5194/gmdd-4-641-2011","ISBN":"1991-959X","ISSN":"1991-962X","PMID":"23504720","abstract":"This manuscript describes the energy and water components of a new community land surface model called the Joint UK Land Environment Simulator (JULES). This is developed from the Met Office Surface Exchange Scheme (MOSES). It can be used as a stand alone land surface model driven by observed forcing data, or coupled to an atmospheric global circulation model. The JULES model has been coupled to the Met Office Unified Model (UM) and as such provides a unique opportunity for the research community to contribute their research to improve both worldleading operational weather forecasting and climate change prediction systems. In addition JULES, and its forerunner MOSES, have been the basis for a number of very highprofile papers concerning the land-surface and climate over the last decade. JULES has a modular structure aligned to physical processes, providing the basis for a flexible modelling platform.","author":[{"dropping-particle":"","family":"Clark","given":"D. B.","non-dropping-particle":"","parse-names":false,"suffix":""},{"dropping-particle":"","family":"Mercado","given":"L. M.","non-dropping-particle":"","parse-names":false,"suffix":""},{"dropping-particle":"","family":"Sitch","given":"S.","non-dropping-particle":"","parse-names":false,"suffix":""},{"dropping-particle":"","family":"Jones","given":"C. D.","non-dropping-particle":"","parse-names":false,"suffix":""},{"dropping-particle":"","family":"Gedney","given":"N.","non-dropping-particle":"","parse-names":false,"suffix":""},{"dropping-particle":"","family":"Best","given":"M. J.","non-dropping-particle":"","parse-names":false,"suffix":""},{"dropping-particle":"","family":"Pryor","given":"M.","non-dropping-particle":"","parse-names":false,"suffix":""},{"dropping-particle":"","family":"Rooney","given":"G. G.","non-dropping-particle":"","parse-names":false,"suffix":""},{"dropping-particle":"","family":"Essery","given":"R. L. H.","non-dropping-particle":"","parse-names":false,"suffix":""},{"dropping-particle":"","family":"Blyth","given":"E.","non-dropping-particle":"","parse-names":false,"suffix":""},{"dropping-particle":"","family":"Boucher","given":"O.","non-dropping-particle":"","parse-names":false,"suffix":""},{"dropping-particle":"","family":"Harding","given":"R. J.","non-dropping-particle":"","parse-names":false,"suffix":""},{"dropping-particle":"","family":"Cox","given":"P. M.","non-dropping-particle":"","parse-names":false,"suffix":""}],"container-title":"Geoscientific Model Development Discussions","id":"ITEM-1","issue":"1","issued":{"date-parts":[["2011"]]},"page":"641-688","title":"The Joint UK Land Environment Simulator (JULES), Model description – Part 2: Carbon fluxes and vegetation","type":"article-journal","volume":"4"},"uris":["http://www.mendeley.com/documents/?uuid=56609b01-0309-40b0-a269-a6d756cbb561"]}],"mendeley":{"formattedCitation":"[2]","plainTextFormattedCitation":"[2]","previouslyFormattedCitation":"[2]"},"properties":{"noteIndex":0},"schema":"https://github.com/citation-style-language/schema/raw/master/csl-citation.json"}</w:instrText>
      </w:r>
      <w:r w:rsidRPr="00993651">
        <w:rPr>
          <w:rFonts w:eastAsiaTheme="minorEastAsia"/>
          <w:i/>
          <w:szCs w:val="24"/>
        </w:rPr>
        <w:fldChar w:fldCharType="separate"/>
      </w:r>
      <w:r w:rsidR="008F6391" w:rsidRPr="00993651">
        <w:rPr>
          <w:rFonts w:eastAsiaTheme="minorEastAsia"/>
          <w:noProof/>
          <w:szCs w:val="24"/>
        </w:rPr>
        <w:t>[2]</w:t>
      </w:r>
      <w:r w:rsidRPr="00993651">
        <w:rPr>
          <w:rFonts w:eastAsiaTheme="minorEastAsia"/>
          <w:i/>
          <w:szCs w:val="24"/>
        </w:rPr>
        <w:fldChar w:fldCharType="end"/>
      </w:r>
      <w:r w:rsidRPr="00993651">
        <w:rPr>
          <w:rFonts w:eastAsiaTheme="minorEastAsia"/>
          <w:szCs w:val="24"/>
        </w:rPr>
        <w:t xml:space="preserve">. </w:t>
      </w:r>
    </w:p>
    <w:p w14:paraId="7D39644B" w14:textId="1F7F2593" w:rsidR="00E63F1B" w:rsidRDefault="00E63F1B" w:rsidP="00E63F1B">
      <w:pPr>
        <w:spacing w:line="360" w:lineRule="auto"/>
        <w:jc w:val="both"/>
        <w:outlineLvl w:val="0"/>
        <w:rPr>
          <w:bCs/>
          <w:i/>
          <w:szCs w:val="24"/>
        </w:rPr>
      </w:pPr>
      <w:r>
        <w:rPr>
          <w:b/>
          <w:bCs/>
          <w:szCs w:val="24"/>
        </w:rPr>
        <w:t xml:space="preserve">Notes </w:t>
      </w:r>
      <w:r w:rsidRPr="00993651">
        <w:rPr>
          <w:b/>
          <w:bCs/>
          <w:szCs w:val="24"/>
        </w:rPr>
        <w:t>S</w:t>
      </w:r>
      <w:r>
        <w:rPr>
          <w:b/>
          <w:bCs/>
          <w:szCs w:val="24"/>
        </w:rPr>
        <w:t>2</w:t>
      </w:r>
      <w:r w:rsidRPr="00993651">
        <w:rPr>
          <w:b/>
          <w:bCs/>
          <w:szCs w:val="24"/>
        </w:rPr>
        <w:t xml:space="preserve">. </w:t>
      </w:r>
      <w:r>
        <w:rPr>
          <w:bCs/>
          <w:i/>
          <w:szCs w:val="24"/>
        </w:rPr>
        <w:t>Calculation of the shape parameter of the vulnerability curve</w:t>
      </w:r>
    </w:p>
    <w:p w14:paraId="1DC97C8C" w14:textId="77777777" w:rsidR="00E63F1B" w:rsidRDefault="00E63F1B" w:rsidP="00E63F1B">
      <w:pPr>
        <w:spacing w:line="360" w:lineRule="auto"/>
        <w:ind w:firstLine="720"/>
        <w:jc w:val="both"/>
        <w:outlineLvl w:val="0"/>
        <w:rPr>
          <w:bCs/>
          <w:szCs w:val="24"/>
        </w:rPr>
      </w:pPr>
      <w:r>
        <w:rPr>
          <w:bCs/>
          <w:szCs w:val="24"/>
        </w:rPr>
        <w:t>We calculate the shape parameter of the vulnerability curve (</w:t>
      </w:r>
      <w:r w:rsidRPr="00F245B9">
        <w:rPr>
          <w:bCs/>
          <w:i/>
          <w:szCs w:val="24"/>
        </w:rPr>
        <w:t>a</w:t>
      </w:r>
      <w:r>
        <w:rPr>
          <w:bCs/>
          <w:szCs w:val="24"/>
        </w:rPr>
        <w:t>) in function of the xylem Ψ</w:t>
      </w:r>
      <w:r w:rsidRPr="00516BDC">
        <w:rPr>
          <w:bCs/>
          <w:szCs w:val="24"/>
          <w:vertAlign w:val="subscript"/>
        </w:rPr>
        <w:t>50</w:t>
      </w:r>
      <w:r>
        <w:rPr>
          <w:bCs/>
          <w:szCs w:val="24"/>
        </w:rPr>
        <w:t xml:space="preserve"> using the empirical relationship from Christoffersen </w:t>
      </w:r>
      <w:r w:rsidRPr="00070CD4">
        <w:rPr>
          <w:bCs/>
          <w:i/>
          <w:szCs w:val="24"/>
        </w:rPr>
        <w:t>et al.</w:t>
      </w:r>
      <w:r>
        <w:rPr>
          <w:bCs/>
          <w:szCs w:val="24"/>
        </w:rPr>
        <w:t xml:space="preserve"> </w:t>
      </w:r>
      <w:r>
        <w:rPr>
          <w:bCs/>
          <w:szCs w:val="24"/>
        </w:rPr>
        <w:fldChar w:fldCharType="begin" w:fldLock="1"/>
      </w:r>
      <w:r>
        <w:rPr>
          <w:bCs/>
          <w:szCs w:val="24"/>
        </w:rPr>
        <w:instrText>ADDIN CSL_CITATION {"citationItems":[{"id":"ITEM-1","itemData":{"DOI":"10.5194/gmd-9-4227-2016","ISBN":"1991-962X","ISSN":"19919603","abstract":"&lt;p&gt;Forest ecosystem models based on heuristic water stress functions poorly predict tropical forest response to drought because they do not capture the diversity of hydraulic traits (including variation in tree size) observed in tropical forests. We developed a Richards’ equation-based model of plant hydraulics in which all parameters of its constitutive equations are biologically-interpretable and measureable plant hydraulic traits (e.g., turgor loss point π&lt;sub&gt;&lt;i&gt;tlp&lt;/i&gt;&lt;/sub&gt;, bulk elastic modulus ε, hydraulic capacitance &lt;i&gt;C&lt;sub&gt;ft&lt;/sub&gt;&lt;/i&gt;, xylem hydraulic conductivity &lt;i&gt;k&lt;sub&gt;s,max&lt;/sub&gt;&lt;/i&gt;, water potential at 50 % loss of conductivity for both xylem (&lt;i&gt;P&lt;/i&gt;&lt;sub&gt;50,&lt;i&gt;x&lt;/i&gt;&lt;/sub&gt;) and stomata (&lt;i&gt;P&lt;/i&gt;&lt;sub&gt;50,&lt;i&gt;gs&lt;/i&gt;&lt;/sub&gt;), and the leaf:sapwood area ratio &lt;i&gt;A&lt;sub&gt;l&lt;/sub&gt;&lt;/i&gt;:&lt;i&gt;A&lt;sub&gt;s&lt;/sub&gt;&lt;/i&gt;). We embedded this plant hydraulics model within a forest simulator (TFS) that modeled individual tree light environments and their upper boundary condition (transpiration) as well as provided a means for parameterizing individual variation in hydraulic traits. We synthesized literature and existing databases to parameterize all hydraulic traits as a function of stem and leaf traits wood density (&lt;i&gt;WD&lt;/i&gt;), leaf mass per area (&lt;i&gt;LMA&lt;/i&gt;) and photosynthetic capacity (&lt;i&gt;A&lt;/i&gt;&lt;sub&gt;max&lt;/sub&gt;) and evaluated the coupled model’s (TFS-Hydro) predictions against diurnal and seasonal variability in stem and leaf water potential as well as stand-scaled sap flux. &lt;br&gt;&lt;br&gt; Our hydraulic trait synthesis revealed coordination among leaf and xylem hydraulic traits and statistically significant relationships of most hydraulic traits with more easily measured plant traits. Using the most informative empirical trait-trait relationships derived from this synthesis, the TFS-Hydro model parameterization is capable of representing patterns of coordination and trade-offs in hydraulic traits. TFS-Hydro successfully captured individual variation in leaf and stem water potential due to increasing tree size and light environment, with model representation of hydraulic architecture and plant traits exerting primary and secondary controls, respectively, on the fidelity of model predictions. The plant hydraulics model made substantial improvements to simulations of total ecosystem transpiration under control conditions, but the absence of a vertically stratified soil hydrology model precluded improvements to the simulation of drought response. Remaining uncertainties and l…","author":[{"dropping-particle":"","family":"Christoffersen","given":"Bradley O.","non-dropping-particle":"","parse-names":false,"suffix":""},{"dropping-particle":"","family":"Gloor","given":"Manuel","non-dropping-particle":"","parse-names":false,"suffix":""},{"dropping-particle":"","family":"Fauset","given":"Sophie","non-dropping-particle":"","parse-names":false,"suffix":""},{"dropping-particle":"","family":"Fyllas","given":"Nikolaos M.","non-dropping-particle":"","parse-names":false,"suffix":""},{"dropping-particle":"","family":"Galbraith","given":"David R.","non-dropping-particle":"","parse-names":false,"suffix":""},{"dropping-particle":"","family":"Baker","given":"Timothy R.","non-dropping-particle":"","parse-names":false,"suffix":""},{"dropping-particle":"","family":"Kruijt","given":"Bart","non-dropping-particle":"","parse-names":false,"suffix":""},{"dropping-particle":"","family":"Rowland","given":"Lucy","non-dropping-particle":"","parse-names":false,"suffix":""},{"dropping-particle":"","family":"Fisher","given":"Rosie A.","non-dropping-particle":"","parse-names":false,"suffix":""},{"dropping-particle":"","family":"Binks","given":"Oliver J.","non-dropping-particle":"","parse-names":false,"suffix":""},{"dropping-particle":"","family":"Sevanto","given":"Sanna","non-dropping-particle":"","parse-names":false,"suffix":""},{"dropping-particle":"","family":"Xu","given":"Chonggang","non-dropping-particle":"","parse-names":false,"suffix":""},{"dropping-particle":"","family":"Jansen","given":"Steven","non-dropping-particle":"","parse-names":false,"suffix":""},{"dropping-particle":"","family":"Choat","given":"Brendan","non-dropping-particle":"","parse-names":false,"suffix":""},{"dropping-particle":"","family":"Mencuccini","given":"Maurizio","non-dropping-particle":"","parse-names":false,"suffix":""},{"dropping-particle":"","family":"McDowell","given":"Nate G.","non-dropping-particle":"","parse-names":false,"suffix":""},{"dropping-particle":"","family":"Meir","given":"Patrick","non-dropping-particle":"","parse-names":false,"suffix":""}],"container-title":"Geoscientific Model Development","id":"ITEM-1","issue":"11","issued":{"date-parts":[["2016"]]},"page":"4227-4255","title":"Linking hydraulic traits to tropical forest function in a size-structured and trait-driven model (TFS v.1-Hydro)","type":"article-journal","volume":"9"},"uris":["http://www.mendeley.com/documents/?uuid=21be82fb-be7c-4771-bd27-2f001e575a0b"]}],"mendeley":{"formattedCitation":"[7]","plainTextFormattedCitation":"[7]","previouslyFormattedCitation":"[7]"},"properties":{"noteIndex":0},"schema":"https://github.com/citation-style-language/schema/raw/master/csl-citation.json"}</w:instrText>
      </w:r>
      <w:r>
        <w:rPr>
          <w:bCs/>
          <w:szCs w:val="24"/>
        </w:rPr>
        <w:fldChar w:fldCharType="separate"/>
      </w:r>
      <w:r w:rsidRPr="006015F6">
        <w:rPr>
          <w:bCs/>
          <w:noProof/>
          <w:szCs w:val="24"/>
        </w:rPr>
        <w:t>[7]</w:t>
      </w:r>
      <w:r>
        <w:rPr>
          <w:bCs/>
          <w:szCs w:val="24"/>
        </w:rPr>
        <w:fldChar w:fldCharType="end"/>
      </w:r>
      <w:r>
        <w:rPr>
          <w:bCs/>
          <w:szCs w:val="24"/>
        </w:rPr>
        <w:t>. The slope of the linear portion of the xylem vulnerability function (</w:t>
      </w:r>
      <w:proofErr w:type="spellStart"/>
      <w:r w:rsidRPr="00686A25">
        <w:rPr>
          <w:bCs/>
          <w:i/>
          <w:szCs w:val="24"/>
        </w:rPr>
        <w:t>s</w:t>
      </w:r>
      <w:r w:rsidRPr="007F448F">
        <w:rPr>
          <w:bCs/>
          <w:i/>
          <w:szCs w:val="24"/>
          <w:vertAlign w:val="subscript"/>
        </w:rPr>
        <w:t>x</w:t>
      </w:r>
      <w:proofErr w:type="spellEnd"/>
      <w:r>
        <w:rPr>
          <w:bCs/>
          <w:szCs w:val="24"/>
        </w:rPr>
        <w:t>, MPa</w:t>
      </w:r>
      <w:r w:rsidRPr="00686A25">
        <w:rPr>
          <w:bCs/>
          <w:szCs w:val="24"/>
          <w:vertAlign w:val="superscript"/>
        </w:rPr>
        <w:t>-1</w:t>
      </w:r>
      <w:r>
        <w:rPr>
          <w:bCs/>
          <w:szCs w:val="24"/>
        </w:rPr>
        <w:t>) is related to Ψ</w:t>
      </w:r>
      <w:r w:rsidRPr="00516BDC">
        <w:rPr>
          <w:bCs/>
          <w:szCs w:val="24"/>
          <w:vertAlign w:val="subscript"/>
        </w:rPr>
        <w:t>50</w:t>
      </w:r>
      <w:r>
        <w:rPr>
          <w:bCs/>
          <w:szCs w:val="24"/>
          <w:vertAlign w:val="subscript"/>
        </w:rPr>
        <w:t xml:space="preserve"> </w:t>
      </w:r>
      <w:r>
        <w:rPr>
          <w:bCs/>
          <w:szCs w:val="24"/>
        </w:rPr>
        <w:t>as:</w:t>
      </w:r>
    </w:p>
    <w:p w14:paraId="55BBBE88" w14:textId="77777777" w:rsidR="00E63F1B" w:rsidRPr="007C53B2" w:rsidRDefault="00EA5F47" w:rsidP="00E63F1B">
      <w:pPr>
        <w:spacing w:line="360" w:lineRule="auto"/>
        <w:jc w:val="both"/>
        <w:rPr>
          <w:rFonts w:eastAsiaTheme="minorEastAsia"/>
          <w:iCs/>
          <w:szCs w:val="24"/>
        </w:rPr>
      </w:pPr>
      <m:oMathPara>
        <m:oMathParaPr>
          <m:jc m:val="left"/>
        </m:oMathParaPr>
        <m:oMath>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x</m:t>
              </m:r>
            </m:sub>
          </m:sSub>
          <m:r>
            <w:rPr>
              <w:rFonts w:ascii="Cambria Math" w:hAnsi="Cambria Math"/>
              <w:szCs w:val="24"/>
            </w:rPr>
            <m:t>=65.15</m:t>
          </m:r>
          <m:sSup>
            <m:sSupPr>
              <m:ctrlPr>
                <w:rPr>
                  <w:rFonts w:ascii="Cambria Math" w:hAnsi="Cambria Math"/>
                  <w:i/>
                  <w:iCs/>
                  <w:szCs w:val="24"/>
                </w:rPr>
              </m:ctrlPr>
            </m:sSupPr>
            <m:e>
              <m:r>
                <w:rPr>
                  <w:rFonts w:ascii="Cambria Math" w:hAnsi="Cambria Math"/>
                  <w:szCs w:val="24"/>
                </w:rPr>
                <m:t>(-</m:t>
              </m:r>
              <m:sSub>
                <m:sSubPr>
                  <m:ctrlPr>
                    <w:rPr>
                      <w:rFonts w:ascii="Cambria Math" w:hAnsi="Cambria Math"/>
                      <w:i/>
                      <w:iCs/>
                      <w:szCs w:val="24"/>
                    </w:rPr>
                  </m:ctrlPr>
                </m:sSubPr>
                <m:e>
                  <m:r>
                    <w:rPr>
                      <w:rFonts w:ascii="Cambria Math" w:hAnsi="Cambria Math"/>
                      <w:szCs w:val="24"/>
                    </w:rPr>
                    <m:t>Ψ</m:t>
                  </m:r>
                </m:e>
                <m:sub>
                  <m:r>
                    <w:rPr>
                      <w:rFonts w:ascii="Cambria Math" w:hAnsi="Cambria Math"/>
                      <w:szCs w:val="24"/>
                    </w:rPr>
                    <m:t>50</m:t>
                  </m:r>
                </m:sub>
              </m:sSub>
              <m:r>
                <w:rPr>
                  <w:rFonts w:ascii="Cambria Math" w:hAnsi="Cambria Math"/>
                  <w:szCs w:val="24"/>
                </w:rPr>
                <m:t>)</m:t>
              </m:r>
            </m:e>
            <m:sup>
              <m:r>
                <w:rPr>
                  <w:rFonts w:ascii="Cambria Math" w:hAnsi="Cambria Math"/>
                  <w:szCs w:val="24"/>
                </w:rPr>
                <m:t>-1.25</m:t>
              </m:r>
            </m:sup>
          </m:sSup>
        </m:oMath>
      </m:oMathPara>
    </w:p>
    <w:p w14:paraId="1E893FAD" w14:textId="77777777" w:rsidR="00E63F1B" w:rsidRDefault="00E63F1B" w:rsidP="00E63F1B">
      <w:pPr>
        <w:spacing w:line="360" w:lineRule="auto"/>
        <w:jc w:val="both"/>
        <w:rPr>
          <w:rFonts w:eastAsiaTheme="minorEastAsia"/>
          <w:iCs/>
          <w:szCs w:val="24"/>
        </w:rPr>
      </w:pPr>
      <w:proofErr w:type="gramStart"/>
      <w:r>
        <w:rPr>
          <w:rFonts w:eastAsiaTheme="minorEastAsia"/>
          <w:iCs/>
          <w:szCs w:val="24"/>
        </w:rPr>
        <w:t>and</w:t>
      </w:r>
      <w:proofErr w:type="gramEnd"/>
      <w:r>
        <w:rPr>
          <w:rFonts w:eastAsiaTheme="minorEastAsia"/>
          <w:iCs/>
          <w:szCs w:val="24"/>
        </w:rPr>
        <w:t xml:space="preserve"> </w:t>
      </w:r>
      <w:r w:rsidRPr="00093C61">
        <w:rPr>
          <w:rFonts w:eastAsiaTheme="minorEastAsia"/>
          <w:i/>
          <w:iCs/>
          <w:szCs w:val="24"/>
        </w:rPr>
        <w:t>a</w:t>
      </w:r>
      <w:r>
        <w:rPr>
          <w:rFonts w:eastAsiaTheme="minorEastAsia"/>
          <w:iCs/>
          <w:szCs w:val="24"/>
        </w:rPr>
        <w:t xml:space="preserve"> from the equation 5 in the main text can be calculated as:</w:t>
      </w:r>
    </w:p>
    <w:p w14:paraId="125C8247" w14:textId="77777777" w:rsidR="00E63F1B" w:rsidRPr="007C53B2" w:rsidRDefault="00E63F1B" w:rsidP="00E63F1B">
      <w:pPr>
        <w:spacing w:line="360" w:lineRule="auto"/>
        <w:jc w:val="both"/>
        <w:rPr>
          <w:rFonts w:eastAsiaTheme="minorEastAsia"/>
          <w:iCs/>
          <w:szCs w:val="24"/>
        </w:rPr>
      </w:pPr>
      <m:oMathPara>
        <m:oMathParaPr>
          <m:jc m:val="left"/>
        </m:oMathParaPr>
        <m:oMath>
          <m:r>
            <w:rPr>
              <w:rFonts w:ascii="Cambria Math" w:hAnsi="Cambria Math"/>
              <w:szCs w:val="24"/>
            </w:rPr>
            <m:t>a=</m:t>
          </m:r>
          <m:f>
            <m:fPr>
              <m:ctrlPr>
                <w:rPr>
                  <w:rFonts w:ascii="Cambria Math" w:hAnsi="Cambria Math"/>
                  <w:i/>
                  <w:szCs w:val="24"/>
                </w:rPr>
              </m:ctrlPr>
            </m:fPr>
            <m:num>
              <m:r>
                <w:rPr>
                  <w:rFonts w:ascii="Cambria Math" w:hAnsi="Cambria Math"/>
                  <w:szCs w:val="24"/>
                </w:rPr>
                <m:t>-4</m:t>
              </m:r>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x</m:t>
                  </m:r>
                </m:sub>
              </m:sSub>
            </m:num>
            <m:den>
              <m:r>
                <w:rPr>
                  <w:rFonts w:ascii="Cambria Math" w:hAnsi="Cambria Math"/>
                  <w:szCs w:val="24"/>
                </w:rPr>
                <m:t>100</m:t>
              </m:r>
              <m:sSub>
                <m:sSubPr>
                  <m:ctrlPr>
                    <w:rPr>
                      <w:rFonts w:ascii="Cambria Math" w:hAnsi="Cambria Math"/>
                      <w:i/>
                      <w:iCs/>
                      <w:szCs w:val="24"/>
                    </w:rPr>
                  </m:ctrlPr>
                </m:sSubPr>
                <m:e>
                  <m:r>
                    <w:rPr>
                      <w:rFonts w:ascii="Cambria Math" w:hAnsi="Cambria Math"/>
                      <w:szCs w:val="24"/>
                    </w:rPr>
                    <m:t>Ψ</m:t>
                  </m:r>
                </m:e>
                <m:sub>
                  <m:r>
                    <w:rPr>
                      <w:rFonts w:ascii="Cambria Math" w:hAnsi="Cambria Math"/>
                      <w:szCs w:val="24"/>
                    </w:rPr>
                    <m:t>50</m:t>
                  </m:r>
                </m:sub>
              </m:sSub>
            </m:den>
          </m:f>
        </m:oMath>
      </m:oMathPara>
    </w:p>
    <w:p w14:paraId="55F082CA" w14:textId="55C63A4C" w:rsidR="007A70EA" w:rsidRDefault="007735BC" w:rsidP="007A70EA">
      <w:pPr>
        <w:spacing w:line="360" w:lineRule="auto"/>
        <w:jc w:val="both"/>
        <w:rPr>
          <w:rFonts w:eastAsiaTheme="minorEastAsia"/>
          <w:szCs w:val="24"/>
        </w:rPr>
      </w:pPr>
      <w:r>
        <w:rPr>
          <w:rFonts w:eastAsiaTheme="minorEastAsia"/>
          <w:b/>
          <w:szCs w:val="24"/>
        </w:rPr>
        <w:t>Note</w:t>
      </w:r>
      <w:r w:rsidR="008E1C7E">
        <w:rPr>
          <w:rFonts w:eastAsiaTheme="minorEastAsia"/>
          <w:b/>
          <w:szCs w:val="24"/>
        </w:rPr>
        <w:t>s</w:t>
      </w:r>
      <w:r>
        <w:rPr>
          <w:rFonts w:eastAsiaTheme="minorEastAsia"/>
          <w:b/>
          <w:szCs w:val="24"/>
        </w:rPr>
        <w:t xml:space="preserve"> </w:t>
      </w:r>
      <w:r w:rsidR="001716F6" w:rsidRPr="001716F6">
        <w:rPr>
          <w:rFonts w:eastAsiaTheme="minorEastAsia"/>
          <w:b/>
          <w:szCs w:val="24"/>
        </w:rPr>
        <w:t>S</w:t>
      </w:r>
      <w:r w:rsidR="00E63F1B">
        <w:rPr>
          <w:rFonts w:eastAsiaTheme="minorEastAsia"/>
          <w:b/>
          <w:szCs w:val="24"/>
        </w:rPr>
        <w:t>3</w:t>
      </w:r>
      <w:r w:rsidR="001716F6" w:rsidRPr="001716F6">
        <w:rPr>
          <w:rFonts w:eastAsiaTheme="minorEastAsia"/>
          <w:b/>
          <w:szCs w:val="24"/>
        </w:rPr>
        <w:t>.</w:t>
      </w:r>
      <w:r w:rsidR="001716F6">
        <w:rPr>
          <w:rFonts w:eastAsiaTheme="minorEastAsia"/>
          <w:b/>
          <w:szCs w:val="24"/>
        </w:rPr>
        <w:t xml:space="preserve"> </w:t>
      </w:r>
      <w:r w:rsidR="00783501" w:rsidRPr="00783501">
        <w:rPr>
          <w:rFonts w:eastAsiaTheme="minorEastAsia"/>
          <w:i/>
          <w:szCs w:val="24"/>
        </w:rPr>
        <w:t>SOX c</w:t>
      </w:r>
      <w:r w:rsidR="00511551">
        <w:rPr>
          <w:bCs/>
          <w:i/>
          <w:szCs w:val="24"/>
        </w:rPr>
        <w:t xml:space="preserve">ost function </w:t>
      </w:r>
      <w:r w:rsidR="00800D3B">
        <w:rPr>
          <w:bCs/>
          <w:i/>
          <w:szCs w:val="24"/>
        </w:rPr>
        <w:t>details</w:t>
      </w:r>
    </w:p>
    <w:p w14:paraId="611430D3" w14:textId="25478502" w:rsidR="007A70EA" w:rsidRPr="00BC2D2A" w:rsidRDefault="00783501" w:rsidP="007A70EA">
      <w:pPr>
        <w:spacing w:line="360" w:lineRule="auto"/>
        <w:ind w:firstLine="720"/>
        <w:jc w:val="both"/>
        <w:rPr>
          <w:szCs w:val="24"/>
        </w:rPr>
      </w:pPr>
      <w:r>
        <w:rPr>
          <w:szCs w:val="24"/>
        </w:rPr>
        <w:t>The</w:t>
      </w:r>
      <w:r w:rsidR="007A70EA" w:rsidRPr="00BC2D2A">
        <w:rPr>
          <w:szCs w:val="24"/>
        </w:rPr>
        <w:t xml:space="preserve"> cost function </w:t>
      </w:r>
      <w:r>
        <w:rPr>
          <w:szCs w:val="24"/>
        </w:rPr>
        <w:t xml:space="preserve">used in SOX </w:t>
      </w:r>
      <w:r w:rsidR="007A70EA" w:rsidRPr="00BC2D2A">
        <w:rPr>
          <w:szCs w:val="24"/>
        </w:rPr>
        <w:t xml:space="preserve">differs from Sperry </w:t>
      </w:r>
      <w:r w:rsidR="007A70EA" w:rsidRPr="001F560E">
        <w:rPr>
          <w:i/>
          <w:szCs w:val="24"/>
        </w:rPr>
        <w:t>et al.</w:t>
      </w:r>
      <w:r w:rsidR="007A70EA" w:rsidRPr="00BC2D2A">
        <w:rPr>
          <w:szCs w:val="24"/>
        </w:rPr>
        <w:t xml:space="preserve"> </w:t>
      </w:r>
      <w:r w:rsidR="007A70EA" w:rsidRPr="00BC2D2A">
        <w:rPr>
          <w:szCs w:val="24"/>
        </w:rPr>
        <w:fldChar w:fldCharType="begin" w:fldLock="1"/>
      </w:r>
      <w:r w:rsidR="006015F6">
        <w:rPr>
          <w:szCs w:val="24"/>
        </w:rPr>
        <w:instrText>ADDIN CSL_CITATION {"citationItems":[{"id":"ITEM-1","itemData":{"ISSN":"1365-3040","author":[{"dropping-particle":"","family":"Sperry","given":"John S","non-dropping-particle":"","parse-names":false,"suffix":""},{"dropping-particle":"","family":"Venturas","given":"Martin D","non-dropping-particle":"","parse-names":false,"suffix":""},{"dropping-particle":"","family":"Anderegg","given":"William R L","non-dropping-particle":"","parse-names":false,"suffix":""},{"dropping-particle":"","family":"Mencuccini","given":"Maurizio","non-dropping-particle":"","parse-names":false,"suffix":""},{"dropping-particle":"","family":"Mackay","given":"D Scott","non-dropping-particle":"","parse-names":false,"suffix":""},{"dropping-particle":"","family":"Wang","given":"Yujie","non-dropping-particle":"","parse-names":false,"suffix":""},{"dropping-particle":"","family":"Love","given":"David M","non-dropping-particle":"","parse-names":false,"suffix":""}],"container-title":"Plant, cell &amp; environment","id":"ITEM-1","issue":"6","issued":{"date-parts":[["2017"]]},"page":"816-830","publisher":"Wiley Online Library","title":"Predicting stomatal responses to the environment from the optimization of photosynthetic gain and hydraulic cost","type":"article-journal","volume":"40"},"uris":["http://www.mendeley.com/documents/?uuid=c1f7ff01-d641-41c8-ab81-a866f1be57c7"]}],"mendeley":{"formattedCitation":"[3]","plainTextFormattedCitation":"[3]","previouslyFormattedCitation":"[3]"},"properties":{"noteIndex":0},"schema":"https://github.com/citation-style-language/schema/raw/master/csl-citation.json"}</w:instrText>
      </w:r>
      <w:r w:rsidR="007A70EA" w:rsidRPr="00BC2D2A">
        <w:rPr>
          <w:szCs w:val="24"/>
        </w:rPr>
        <w:fldChar w:fldCharType="separate"/>
      </w:r>
      <w:r w:rsidR="009C1936" w:rsidRPr="009C1936">
        <w:rPr>
          <w:noProof/>
          <w:szCs w:val="24"/>
        </w:rPr>
        <w:t>[3]</w:t>
      </w:r>
      <w:r w:rsidR="007A70EA" w:rsidRPr="00BC2D2A">
        <w:rPr>
          <w:szCs w:val="24"/>
        </w:rPr>
        <w:fldChar w:fldCharType="end"/>
      </w:r>
      <w:r w:rsidR="007A70EA" w:rsidRPr="00BC2D2A">
        <w:rPr>
          <w:szCs w:val="24"/>
        </w:rPr>
        <w:t xml:space="preserve"> approach, which calculates the costs of its optimisation routine based on the </w:t>
      </w:r>
      <w:proofErr w:type="spellStart"/>
      <w:r w:rsidR="007A70EA" w:rsidRPr="00BC2D2A">
        <w:rPr>
          <w:i/>
          <w:szCs w:val="24"/>
        </w:rPr>
        <w:t>k</w:t>
      </w:r>
      <w:r w:rsidR="007A70EA" w:rsidRPr="00BC2D2A">
        <w:rPr>
          <w:i/>
          <w:szCs w:val="24"/>
          <w:vertAlign w:val="subscript"/>
        </w:rPr>
        <w:t>rc</w:t>
      </w:r>
      <w:proofErr w:type="spellEnd"/>
      <w:r w:rsidR="007A70EA" w:rsidRPr="00BC2D2A">
        <w:rPr>
          <w:szCs w:val="24"/>
        </w:rPr>
        <w:t xml:space="preserve"> normalised in function of </w:t>
      </w:r>
      <w:proofErr w:type="spellStart"/>
      <w:r w:rsidR="007A70EA" w:rsidRPr="00BC2D2A">
        <w:rPr>
          <w:i/>
          <w:szCs w:val="24"/>
        </w:rPr>
        <w:t>k</w:t>
      </w:r>
      <w:r w:rsidR="007A70EA" w:rsidRPr="00BC2D2A">
        <w:rPr>
          <w:szCs w:val="24"/>
          <w:vertAlign w:val="subscript"/>
        </w:rPr>
        <w:t>rcmax</w:t>
      </w:r>
      <w:proofErr w:type="spellEnd"/>
      <w:r w:rsidR="007A70EA" w:rsidRPr="00BC2D2A">
        <w:rPr>
          <w:szCs w:val="24"/>
        </w:rPr>
        <w:t xml:space="preserve"> and the critical </w:t>
      </w:r>
      <w:proofErr w:type="spellStart"/>
      <w:r w:rsidR="007A70EA" w:rsidRPr="00BC2D2A">
        <w:rPr>
          <w:i/>
          <w:szCs w:val="24"/>
        </w:rPr>
        <w:t>k</w:t>
      </w:r>
      <w:r w:rsidR="007A70EA" w:rsidRPr="00BC2D2A">
        <w:rPr>
          <w:szCs w:val="24"/>
          <w:vertAlign w:val="subscript"/>
        </w:rPr>
        <w:t>rc</w:t>
      </w:r>
      <w:proofErr w:type="spellEnd"/>
      <w:r w:rsidR="007A70EA" w:rsidRPr="00BC2D2A">
        <w:rPr>
          <w:szCs w:val="24"/>
        </w:rPr>
        <w:t xml:space="preserve"> value (</w:t>
      </w:r>
      <w:proofErr w:type="spellStart"/>
      <w:r w:rsidR="007A70EA" w:rsidRPr="00BC2D2A">
        <w:rPr>
          <w:i/>
          <w:szCs w:val="24"/>
        </w:rPr>
        <w:t>k</w:t>
      </w:r>
      <w:r w:rsidR="007A70EA" w:rsidRPr="00BC2D2A">
        <w:rPr>
          <w:i/>
          <w:szCs w:val="24"/>
          <w:vertAlign w:val="subscript"/>
        </w:rPr>
        <w:t>rc,crit</w:t>
      </w:r>
      <w:proofErr w:type="spellEnd"/>
      <w:r w:rsidR="007A70EA" w:rsidRPr="00BC2D2A">
        <w:rPr>
          <w:szCs w:val="24"/>
        </w:rPr>
        <w:t xml:space="preserve">), where the cavitation costs </w:t>
      </w:r>
      <w:r w:rsidR="00554E4E">
        <w:rPr>
          <w:szCs w:val="24"/>
        </w:rPr>
        <w:t xml:space="preserve">(θ) </w:t>
      </w:r>
      <w:r w:rsidR="007A70EA" w:rsidRPr="00BC2D2A">
        <w:rPr>
          <w:szCs w:val="24"/>
        </w:rPr>
        <w:t xml:space="preserve">are </w:t>
      </w:r>
      <w:r w:rsidR="00214B0E">
        <w:rPr>
          <w:szCs w:val="24"/>
        </w:rPr>
        <w:t xml:space="preserve">assumed to be </w:t>
      </w:r>
      <w:r w:rsidR="007A70EA" w:rsidRPr="00BC2D2A">
        <w:rPr>
          <w:szCs w:val="24"/>
        </w:rPr>
        <w:t>maximum:</w:t>
      </w:r>
    </w:p>
    <w:p w14:paraId="5EA1F5C1" w14:textId="79218CB0" w:rsidR="007A70EA" w:rsidRPr="00BC2D2A" w:rsidRDefault="00554E4E" w:rsidP="007A70EA">
      <w:pPr>
        <w:spacing w:line="360" w:lineRule="auto"/>
        <w:ind w:firstLine="720"/>
        <w:jc w:val="both"/>
        <w:rPr>
          <w:szCs w:val="24"/>
        </w:rPr>
      </w:pPr>
      <m:oMath>
        <m:r>
          <w:rPr>
            <w:rFonts w:ascii="Cambria Math" w:hAnsi="Cambria Math"/>
            <w:szCs w:val="24"/>
          </w:rPr>
          <m:t>θ=</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k</m:t>
                </m:r>
              </m:e>
              <m:sub>
                <m:r>
                  <w:rPr>
                    <w:rFonts w:ascii="Cambria Math" w:hAnsi="Cambria Math"/>
                    <w:szCs w:val="24"/>
                  </w:rPr>
                  <m:t>rc,max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rc</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rc,max</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rc,crit</m:t>
                </m:r>
              </m:sub>
            </m:sSub>
          </m:den>
        </m:f>
      </m:oMath>
      <w:r w:rsidR="007A70EA" w:rsidRPr="00BC2D2A">
        <w:rPr>
          <w:szCs w:val="24"/>
        </w:rPr>
        <w:tab/>
      </w:r>
      <w:r w:rsidR="007A70EA" w:rsidRPr="00BC2D2A">
        <w:rPr>
          <w:szCs w:val="24"/>
        </w:rPr>
        <w:tab/>
      </w:r>
    </w:p>
    <w:p w14:paraId="14AEE313" w14:textId="2D358DDB" w:rsidR="00A72DE4" w:rsidRDefault="007A70EA" w:rsidP="00134890">
      <w:pPr>
        <w:spacing w:line="360" w:lineRule="auto"/>
        <w:ind w:firstLine="720"/>
        <w:jc w:val="both"/>
        <w:rPr>
          <w:szCs w:val="24"/>
        </w:rPr>
      </w:pPr>
      <w:r>
        <w:rPr>
          <w:szCs w:val="24"/>
        </w:rPr>
        <w:t>In</w:t>
      </w:r>
      <w:r w:rsidRPr="00BC2D2A">
        <w:rPr>
          <w:szCs w:val="24"/>
        </w:rPr>
        <w:t xml:space="preserve"> this study we assume </w:t>
      </w:r>
      <w:proofErr w:type="spellStart"/>
      <w:r w:rsidRPr="00BC2D2A">
        <w:rPr>
          <w:i/>
          <w:szCs w:val="24"/>
        </w:rPr>
        <w:t>k</w:t>
      </w:r>
      <w:r w:rsidRPr="00BC2D2A">
        <w:rPr>
          <w:i/>
          <w:szCs w:val="24"/>
          <w:vertAlign w:val="subscript"/>
        </w:rPr>
        <w:t>rc,crit</w:t>
      </w:r>
      <w:proofErr w:type="spellEnd"/>
      <w:r w:rsidRPr="00BC2D2A">
        <w:rPr>
          <w:szCs w:val="24"/>
        </w:rPr>
        <w:t xml:space="preserve"> </w:t>
      </w:r>
      <w:r>
        <w:rPr>
          <w:szCs w:val="24"/>
        </w:rPr>
        <w:t xml:space="preserve">= </w:t>
      </w:r>
      <w:r w:rsidRPr="00BC2D2A">
        <w:rPr>
          <w:szCs w:val="24"/>
        </w:rPr>
        <w:t xml:space="preserve">0, similarly to Sperry </w:t>
      </w:r>
      <w:r w:rsidRPr="00E92720">
        <w:rPr>
          <w:i/>
          <w:szCs w:val="24"/>
        </w:rPr>
        <w:t>et al.</w:t>
      </w:r>
      <w:r w:rsidRPr="00BC2D2A">
        <w:rPr>
          <w:szCs w:val="24"/>
        </w:rPr>
        <w:t xml:space="preserve"> </w:t>
      </w:r>
      <w:r>
        <w:rPr>
          <w:szCs w:val="24"/>
        </w:rPr>
        <w:fldChar w:fldCharType="begin" w:fldLock="1"/>
      </w:r>
      <w:r w:rsidR="006015F6">
        <w:rPr>
          <w:szCs w:val="24"/>
        </w:rPr>
        <w:instrText>ADDIN CSL_CITATION {"citationItems":[{"id":"ITEM-1","itemData":{"ISSN":"1365-3040","author":[{"dropping-particle":"","family":"Sperry","given":"John S","non-dropping-particle":"","parse-names":false,"suffix":""},{"dropping-particle":"","family":"Venturas","given":"Martin D","non-dropping-particle":"","parse-names":false,"suffix":""},{"dropping-particle":"","family":"Anderegg","given":"William R L","non-dropping-particle":"","parse-names":false,"suffix":""},{"dropping-particle":"","family":"Mencuccini","given":"Maurizio","non-dropping-particle":"","parse-names":false,"suffix":""},{"dropping-particle":"","family":"Mackay","given":"D Scott","non-dropping-particle":"","parse-names":false,"suffix":""},{"dropping-particle":"","family":"Wang","given":"Yujie","non-dropping-particle":"","parse-names":false,"suffix":""},{"dropping-particle":"","family":"Love","given":"David M","non-dropping-particle":"","parse-names":false,"suffix":""}],"container-title":"Plant, cell &amp; environment","id":"ITEM-1","issue":"6","issued":{"date-parts":[["2017"]]},"page":"816-830","publisher":"Wiley Online Library","title":"Predicting stomatal responses to the environment from the optimization of photosynthetic gain and hydraulic cost","type":"article-journal","volume":"40"},"uris":["http://www.mendeley.com/documents/?uuid=c1f7ff01-d641-41c8-ab81-a866f1be57c7"]}],"mendeley":{"formattedCitation":"[3]","plainTextFormattedCitation":"[3]","previouslyFormattedCitation":"[3]"},"properties":{"noteIndex":0},"schema":"https://github.com/citation-style-language/schema/raw/master/csl-citation.json"}</w:instrText>
      </w:r>
      <w:r>
        <w:rPr>
          <w:szCs w:val="24"/>
        </w:rPr>
        <w:fldChar w:fldCharType="separate"/>
      </w:r>
      <w:r w:rsidR="009C1936" w:rsidRPr="009C1936">
        <w:rPr>
          <w:noProof/>
          <w:szCs w:val="24"/>
        </w:rPr>
        <w:t>[3]</w:t>
      </w:r>
      <w:r>
        <w:rPr>
          <w:szCs w:val="24"/>
        </w:rPr>
        <w:fldChar w:fldCharType="end"/>
      </w:r>
      <w:r>
        <w:rPr>
          <w:szCs w:val="24"/>
        </w:rPr>
        <w:t xml:space="preserve"> which assumes </w:t>
      </w:r>
      <w:proofErr w:type="spellStart"/>
      <w:r w:rsidRPr="00BC2D2A">
        <w:rPr>
          <w:i/>
          <w:szCs w:val="24"/>
        </w:rPr>
        <w:t>k</w:t>
      </w:r>
      <w:r w:rsidRPr="00BC2D2A">
        <w:rPr>
          <w:i/>
          <w:szCs w:val="24"/>
          <w:vertAlign w:val="subscript"/>
        </w:rPr>
        <w:t>rc,crit</w:t>
      </w:r>
      <w:proofErr w:type="spellEnd"/>
      <w:r>
        <w:rPr>
          <w:szCs w:val="24"/>
        </w:rPr>
        <w:t xml:space="preserve"> is 0.005∙</w:t>
      </w:r>
      <w:r w:rsidRPr="00BC2D2A">
        <w:rPr>
          <w:i/>
          <w:szCs w:val="24"/>
        </w:rPr>
        <w:t>k</w:t>
      </w:r>
      <w:r w:rsidRPr="00CA34FF">
        <w:rPr>
          <w:i/>
          <w:szCs w:val="24"/>
          <w:vertAlign w:val="subscript"/>
        </w:rPr>
        <w:t>rc</w:t>
      </w:r>
      <w:r w:rsidR="00CA34FF">
        <w:rPr>
          <w:i/>
          <w:szCs w:val="24"/>
          <w:vertAlign w:val="subscript"/>
        </w:rPr>
        <w:t>,</w:t>
      </w:r>
      <w:r w:rsidRPr="00CA34FF">
        <w:rPr>
          <w:i/>
          <w:szCs w:val="24"/>
          <w:vertAlign w:val="subscript"/>
        </w:rPr>
        <w:t>max</w:t>
      </w:r>
      <w:r>
        <w:rPr>
          <w:szCs w:val="24"/>
        </w:rPr>
        <w:t xml:space="preserve">. </w:t>
      </w:r>
      <w:r w:rsidR="00DB4731">
        <w:rPr>
          <w:szCs w:val="24"/>
        </w:rPr>
        <w:t xml:space="preserve">This assumption </w:t>
      </w:r>
      <w:r w:rsidRPr="00BC2D2A">
        <w:rPr>
          <w:szCs w:val="24"/>
        </w:rPr>
        <w:t xml:space="preserve">makes </w:t>
      </w:r>
      <w:r w:rsidR="00927CF8">
        <w:rPr>
          <w:szCs w:val="24"/>
        </w:rPr>
        <w:t>the cost function used in SOX</w:t>
      </w:r>
      <w:r w:rsidR="00696572">
        <w:rPr>
          <w:szCs w:val="24"/>
        </w:rPr>
        <w:t xml:space="preserve"> (equation 8</w:t>
      </w:r>
      <w:r w:rsidR="00983B37">
        <w:rPr>
          <w:szCs w:val="24"/>
        </w:rPr>
        <w:t xml:space="preserve"> in the main text</w:t>
      </w:r>
      <w:r w:rsidR="00696572">
        <w:rPr>
          <w:szCs w:val="24"/>
        </w:rPr>
        <w:t>)</w:t>
      </w:r>
      <w:r w:rsidR="006728E2">
        <w:rPr>
          <w:szCs w:val="24"/>
        </w:rPr>
        <w:t>,</w:t>
      </w:r>
      <w:r w:rsidR="00134890">
        <w:rPr>
          <w:szCs w:val="24"/>
        </w:rPr>
        <w:t xml:space="preserve"> </w:t>
      </w:r>
      <w:r w:rsidR="00696572">
        <w:rPr>
          <w:szCs w:val="24"/>
        </w:rPr>
        <w:t>equivalent to</w:t>
      </w:r>
      <w:r w:rsidR="006728E2">
        <w:rPr>
          <w:szCs w:val="24"/>
        </w:rPr>
        <w:t xml:space="preserve"> </w:t>
      </w:r>
      <w:r w:rsidRPr="00BC2D2A">
        <w:rPr>
          <w:i/>
          <w:szCs w:val="24"/>
        </w:rPr>
        <w:t>1-</w:t>
      </w:r>
      <w:r w:rsidR="006728E2">
        <w:rPr>
          <w:i/>
          <w:szCs w:val="24"/>
        </w:rPr>
        <w:t>θ</w:t>
      </w:r>
      <w:r w:rsidR="00134890">
        <w:rPr>
          <w:szCs w:val="24"/>
        </w:rPr>
        <w:t xml:space="preserve">. </w:t>
      </w:r>
      <w:r w:rsidR="00992826" w:rsidRPr="00BC2D2A">
        <w:rPr>
          <w:szCs w:val="24"/>
        </w:rPr>
        <w:t xml:space="preserve">The </w:t>
      </w:r>
      <w:r w:rsidR="00992826">
        <w:rPr>
          <w:szCs w:val="24"/>
        </w:rPr>
        <w:t xml:space="preserve">main advantage of the </w:t>
      </w:r>
      <w:r w:rsidR="00992826" w:rsidRPr="00BC2D2A">
        <w:rPr>
          <w:szCs w:val="24"/>
        </w:rPr>
        <w:t xml:space="preserve">SOX cost function </w:t>
      </w:r>
      <w:r w:rsidR="00992826">
        <w:rPr>
          <w:szCs w:val="24"/>
        </w:rPr>
        <w:t>is the possibility of carrying</w:t>
      </w:r>
      <w:r w:rsidR="00992826" w:rsidRPr="00BC2D2A">
        <w:rPr>
          <w:szCs w:val="24"/>
        </w:rPr>
        <w:t xml:space="preserve"> out </w:t>
      </w:r>
      <w:r w:rsidR="00992826">
        <w:rPr>
          <w:szCs w:val="24"/>
        </w:rPr>
        <w:t>the</w:t>
      </w:r>
      <w:r w:rsidR="00992826" w:rsidRPr="00BC2D2A">
        <w:rPr>
          <w:szCs w:val="24"/>
        </w:rPr>
        <w:t xml:space="preserve"> optimisation without the need for the </w:t>
      </w:r>
      <w:r w:rsidR="00992826" w:rsidRPr="00BC2D2A">
        <w:rPr>
          <w:i/>
          <w:szCs w:val="24"/>
        </w:rPr>
        <w:t>A</w:t>
      </w:r>
      <w:r w:rsidR="00992826" w:rsidRPr="00BC2D2A">
        <w:rPr>
          <w:szCs w:val="24"/>
        </w:rPr>
        <w:t xml:space="preserve"> normalisation required in Sperry </w:t>
      </w:r>
      <w:r w:rsidR="00992826" w:rsidRPr="00B51FC9">
        <w:rPr>
          <w:i/>
          <w:szCs w:val="24"/>
        </w:rPr>
        <w:t>et al.</w:t>
      </w:r>
      <w:r w:rsidR="00992826" w:rsidRPr="00BC2D2A">
        <w:rPr>
          <w:szCs w:val="24"/>
        </w:rPr>
        <w:t xml:space="preserve"> </w:t>
      </w:r>
      <w:r w:rsidR="00992826">
        <w:rPr>
          <w:szCs w:val="24"/>
        </w:rPr>
        <w:fldChar w:fldCharType="begin" w:fldLock="1"/>
      </w:r>
      <w:r w:rsidR="006015F6">
        <w:rPr>
          <w:szCs w:val="24"/>
        </w:rPr>
        <w:instrText>ADDIN CSL_CITATION {"citationItems":[{"id":"ITEM-1","itemData":{"ISSN":"1365-3040","author":[{"dropping-particle":"","family":"Sperry","given":"John S","non-dropping-particle":"","parse-names":false,"suffix":""},{"dropping-particle":"","family":"Venturas","given":"Martin D","non-dropping-particle":"","parse-names":false,"suffix":""},{"dropping-particle":"","family":"Anderegg","given":"William R L","non-dropping-particle":"","parse-names":false,"suffix":""},{"dropping-particle":"","family":"Mencuccini","given":"Maurizio","non-dropping-particle":"","parse-names":false,"suffix":""},{"dropping-particle":"","family":"Mackay","given":"D Scott","non-dropping-particle":"","parse-names":false,"suffix":""},{"dropping-particle":"","family":"Wang","given":"Yujie","non-dropping-particle":"","parse-names":false,"suffix":""},{"dropping-particle":"","family":"Love","given":"David M","non-dropping-particle":"","parse-names":false,"suffix":""}],"container-title":"Plant, cell &amp; environment","id":"ITEM-1","issue":"6","issued":{"date-parts":[["2017"]]},"page":"816-830","publisher":"Wiley Online Library","title":"Predicting stomatal responses to the environment from the optimization of photosynthetic gain and hydraulic cost","type":"article-journal","volume":"40"},"uris":["http://www.mendeley.com/documents/?uuid=c1f7ff01-d641-41c8-ab81-a866f1be57c7"]}],"mendeley":{"formattedCitation":"[3]","plainTextFormattedCitation":"[3]","previouslyFormattedCitation":"[3]"},"properties":{"noteIndex":0},"schema":"https://github.com/citation-style-language/schema/raw/master/csl-citation.json"}</w:instrText>
      </w:r>
      <w:r w:rsidR="00992826">
        <w:rPr>
          <w:szCs w:val="24"/>
        </w:rPr>
        <w:fldChar w:fldCharType="separate"/>
      </w:r>
      <w:r w:rsidR="009C1936" w:rsidRPr="009C1936">
        <w:rPr>
          <w:noProof/>
          <w:szCs w:val="24"/>
        </w:rPr>
        <w:t>[3]</w:t>
      </w:r>
      <w:r w:rsidR="00992826">
        <w:rPr>
          <w:szCs w:val="24"/>
        </w:rPr>
        <w:fldChar w:fldCharType="end"/>
      </w:r>
      <w:r w:rsidR="00992826" w:rsidRPr="00BC2D2A">
        <w:rPr>
          <w:szCs w:val="24"/>
        </w:rPr>
        <w:t xml:space="preserve">, which eliminates the need of finding the instantaneous maximum </w:t>
      </w:r>
      <w:r w:rsidR="00992826" w:rsidRPr="00BC2D2A">
        <w:rPr>
          <w:i/>
          <w:szCs w:val="24"/>
        </w:rPr>
        <w:t>A</w:t>
      </w:r>
      <w:r w:rsidR="00992826" w:rsidRPr="00BC2D2A">
        <w:rPr>
          <w:szCs w:val="24"/>
        </w:rPr>
        <w:t xml:space="preserve"> for each set of environmental conditions.</w:t>
      </w:r>
      <w:r w:rsidR="00992826">
        <w:rPr>
          <w:szCs w:val="24"/>
        </w:rPr>
        <w:t xml:space="preserve"> </w:t>
      </w:r>
      <w:r w:rsidRPr="00BC2D2A">
        <w:rPr>
          <w:szCs w:val="24"/>
        </w:rPr>
        <w:t xml:space="preserve">Changes </w:t>
      </w:r>
      <w:r>
        <w:rPr>
          <w:szCs w:val="24"/>
        </w:rPr>
        <w:t>to</w:t>
      </w:r>
      <w:r w:rsidRPr="00BC2D2A">
        <w:rPr>
          <w:szCs w:val="24"/>
        </w:rPr>
        <w:t xml:space="preserve"> the assumption that </w:t>
      </w:r>
      <w:proofErr w:type="spellStart"/>
      <w:r w:rsidRPr="00BC2D2A">
        <w:rPr>
          <w:i/>
          <w:szCs w:val="24"/>
        </w:rPr>
        <w:t>k</w:t>
      </w:r>
      <w:r w:rsidRPr="00BC2D2A">
        <w:rPr>
          <w:i/>
          <w:szCs w:val="24"/>
          <w:vertAlign w:val="subscript"/>
        </w:rPr>
        <w:t>rc</w:t>
      </w:r>
      <w:proofErr w:type="gramStart"/>
      <w:r w:rsidRPr="00BC2D2A">
        <w:rPr>
          <w:i/>
          <w:szCs w:val="24"/>
          <w:vertAlign w:val="subscript"/>
        </w:rPr>
        <w:t>,crit</w:t>
      </w:r>
      <w:proofErr w:type="spellEnd"/>
      <w:proofErr w:type="gramEnd"/>
      <w:r w:rsidRPr="00BC2D2A">
        <w:rPr>
          <w:szCs w:val="24"/>
        </w:rPr>
        <w:t xml:space="preserve"> </w:t>
      </w:r>
      <w:r>
        <w:rPr>
          <w:szCs w:val="24"/>
        </w:rPr>
        <w:t>=</w:t>
      </w:r>
      <w:r w:rsidRPr="00BC2D2A">
        <w:rPr>
          <w:szCs w:val="24"/>
        </w:rPr>
        <w:t xml:space="preserve"> 0 can</w:t>
      </w:r>
      <w:r>
        <w:rPr>
          <w:szCs w:val="24"/>
        </w:rPr>
        <w:t xml:space="preserve"> </w:t>
      </w:r>
      <w:r w:rsidR="00917946">
        <w:rPr>
          <w:szCs w:val="24"/>
        </w:rPr>
        <w:t xml:space="preserve">also be </w:t>
      </w:r>
      <w:r w:rsidRPr="00BC2D2A">
        <w:rPr>
          <w:szCs w:val="24"/>
        </w:rPr>
        <w:t xml:space="preserve">easily introduced </w:t>
      </w:r>
      <w:r w:rsidR="00917946">
        <w:rPr>
          <w:szCs w:val="24"/>
        </w:rPr>
        <w:t>to</w:t>
      </w:r>
      <w:r>
        <w:rPr>
          <w:szCs w:val="24"/>
        </w:rPr>
        <w:t xml:space="preserve"> SOX </w:t>
      </w:r>
      <w:r w:rsidRPr="00BC2D2A">
        <w:rPr>
          <w:szCs w:val="24"/>
        </w:rPr>
        <w:t>produc</w:t>
      </w:r>
      <w:r w:rsidR="00AB25B0">
        <w:rPr>
          <w:szCs w:val="24"/>
        </w:rPr>
        <w:t>ing</w:t>
      </w:r>
      <w:r w:rsidRPr="00BC2D2A">
        <w:rPr>
          <w:szCs w:val="24"/>
        </w:rPr>
        <w:t xml:space="preserve"> a more conservative stomatal behaviour (Fig. S2).</w:t>
      </w:r>
      <w:r w:rsidR="00DA01BC">
        <w:rPr>
          <w:szCs w:val="24"/>
        </w:rPr>
        <w:t xml:space="preserve"> </w:t>
      </w:r>
    </w:p>
    <w:p w14:paraId="7A8FD5C9" w14:textId="69343A49" w:rsidR="008F19B0" w:rsidRDefault="008F19B0" w:rsidP="008F19B0">
      <w:pPr>
        <w:spacing w:line="360" w:lineRule="auto"/>
        <w:ind w:firstLine="720"/>
        <w:jc w:val="both"/>
        <w:rPr>
          <w:szCs w:val="24"/>
        </w:rPr>
      </w:pPr>
      <w:r w:rsidRPr="00BC2D2A">
        <w:rPr>
          <w:szCs w:val="24"/>
        </w:rPr>
        <w:t xml:space="preserve">The differences between the structure and optimisation routine of our model and Sperry </w:t>
      </w:r>
      <w:r w:rsidRPr="00BC2D2A">
        <w:rPr>
          <w:i/>
          <w:szCs w:val="24"/>
        </w:rPr>
        <w:t>et al.</w:t>
      </w:r>
      <w:r w:rsidRPr="00BC2D2A">
        <w:rPr>
          <w:szCs w:val="24"/>
        </w:rPr>
        <w:t xml:space="preserve"> </w:t>
      </w:r>
      <w:r w:rsidR="009C423F">
        <w:rPr>
          <w:szCs w:val="24"/>
        </w:rPr>
        <w:fldChar w:fldCharType="begin" w:fldLock="1"/>
      </w:r>
      <w:r w:rsidR="009C423F">
        <w:rPr>
          <w:szCs w:val="24"/>
        </w:rPr>
        <w:instrText>ADDIN CSL_CITATION {"citationItems":[{"id":"ITEM-1","itemData":{"ISSN":"1365-3040","author":[{"dropping-particle":"","family":"Sperry","given":"John S","non-dropping-particle":"","parse-names":false,"suffix":""},{"dropping-particle":"","family":"Venturas","given":"Martin D","non-dropping-particle":"","parse-names":false,"suffix":""},{"dropping-particle":"","family":"Anderegg","given":"William R L","non-dropping-particle":"","parse-names":false,"suffix":""},{"dropping-particle":"","family":"Mencuccini","given":"Maurizio","non-dropping-particle":"","parse-names":false,"suffix":""},{"dropping-particle":"","family":"Mackay","given":"D Scott","non-dropping-particle":"","parse-names":false,"suffix":""},{"dropping-particle":"","family":"Wang","given":"Yujie","non-dropping-particle":"","parse-names":false,"suffix":""},{"dropping-particle":"","family":"Love","given":"David M","non-dropping-particle":"","parse-names":false,"suffix":""}],"container-title":"Plant, cell &amp; environment","id":"ITEM-1","issue":"6","issued":{"date-parts":[["2017"]]},"page":"816-830","publisher":"Wiley Online Library","title":"Predicting stomatal responses to the environment from the optimization of photosynthetic gain and hydraulic cost","type":"article-journal","volume":"40"},"uris":["http://www.mendeley.com/documents/?uuid=c1f7ff01-d641-41c8-ab81-a866f1be57c7"]}],"mendeley":{"formattedCitation":"[3]","plainTextFormattedCitation":"[3]"},"properties":{"noteIndex":0},"schema":"https://github.com/citation-style-language/schema/raw/master/csl-citation.json"}</w:instrText>
      </w:r>
      <w:r w:rsidR="009C423F">
        <w:rPr>
          <w:szCs w:val="24"/>
        </w:rPr>
        <w:fldChar w:fldCharType="separate"/>
      </w:r>
      <w:r w:rsidR="009C423F" w:rsidRPr="009C423F">
        <w:rPr>
          <w:noProof/>
          <w:szCs w:val="24"/>
        </w:rPr>
        <w:t>[3]</w:t>
      </w:r>
      <w:r w:rsidR="009C423F">
        <w:rPr>
          <w:szCs w:val="24"/>
        </w:rPr>
        <w:fldChar w:fldCharType="end"/>
      </w:r>
      <w:r w:rsidRPr="00BC2D2A">
        <w:rPr>
          <w:szCs w:val="24"/>
        </w:rPr>
        <w:t xml:space="preserve"> were made to simplify the model numerically</w:t>
      </w:r>
      <w:r>
        <w:rPr>
          <w:szCs w:val="24"/>
        </w:rPr>
        <w:t xml:space="preserve">, facilitating </w:t>
      </w:r>
      <w:r w:rsidRPr="00BC2D2A">
        <w:rPr>
          <w:szCs w:val="24"/>
        </w:rPr>
        <w:t>its integration in large</w:t>
      </w:r>
      <w:r>
        <w:rPr>
          <w:szCs w:val="24"/>
        </w:rPr>
        <w:t>-</w:t>
      </w:r>
      <w:r w:rsidRPr="00BC2D2A">
        <w:rPr>
          <w:szCs w:val="24"/>
        </w:rPr>
        <w:t xml:space="preserve">scale models. The model presented </w:t>
      </w:r>
      <w:r>
        <w:rPr>
          <w:szCs w:val="24"/>
        </w:rPr>
        <w:t>i</w:t>
      </w:r>
      <w:r w:rsidRPr="00BC2D2A">
        <w:rPr>
          <w:szCs w:val="24"/>
        </w:rPr>
        <w:t>n this study is compatible with any photosynthetic model, does not make assumptions over canopy energy-balance and boundary layer calculations and, due to its simplicity, can be approximated analytically</w:t>
      </w:r>
      <w:r w:rsidR="00A14C3A">
        <w:rPr>
          <w:szCs w:val="24"/>
        </w:rPr>
        <w:t xml:space="preserve">. The analytical approximation of our model </w:t>
      </w:r>
      <w:r w:rsidR="005B0302">
        <w:rPr>
          <w:szCs w:val="24"/>
        </w:rPr>
        <w:t xml:space="preserve">will be described in </w:t>
      </w:r>
      <w:r w:rsidR="00A14C3A">
        <w:rPr>
          <w:szCs w:val="24"/>
        </w:rPr>
        <w:t xml:space="preserve">future studies and </w:t>
      </w:r>
      <w:r w:rsidR="00AB0B9A">
        <w:rPr>
          <w:szCs w:val="24"/>
        </w:rPr>
        <w:t xml:space="preserve">will greatly facilitate the use of xylem hydraulics based stomatal optimisation schemes in </w:t>
      </w:r>
      <w:r w:rsidRPr="00BC2D2A">
        <w:rPr>
          <w:szCs w:val="24"/>
        </w:rPr>
        <w:t xml:space="preserve">large-scale modelling </w:t>
      </w:r>
      <w:r w:rsidR="009F4D57">
        <w:rPr>
          <w:szCs w:val="24"/>
        </w:rPr>
        <w:t>applications</w:t>
      </w:r>
      <w:r w:rsidRPr="00BC2D2A">
        <w:rPr>
          <w:szCs w:val="24"/>
        </w:rPr>
        <w:t>.</w:t>
      </w:r>
    </w:p>
    <w:p w14:paraId="28FECC78" w14:textId="5BB018BD" w:rsidR="00A72DE4" w:rsidRDefault="007735BC" w:rsidP="00A72DE4">
      <w:pPr>
        <w:spacing w:line="360" w:lineRule="auto"/>
        <w:jc w:val="both"/>
        <w:rPr>
          <w:bCs/>
          <w:i/>
          <w:szCs w:val="24"/>
        </w:rPr>
      </w:pPr>
      <w:r>
        <w:rPr>
          <w:b/>
          <w:bCs/>
          <w:szCs w:val="24"/>
        </w:rPr>
        <w:t>Note</w:t>
      </w:r>
      <w:r w:rsidR="008E1C7E">
        <w:rPr>
          <w:b/>
          <w:bCs/>
          <w:szCs w:val="24"/>
        </w:rPr>
        <w:t>s</w:t>
      </w:r>
      <w:r>
        <w:rPr>
          <w:b/>
          <w:bCs/>
          <w:szCs w:val="24"/>
        </w:rPr>
        <w:t xml:space="preserve"> </w:t>
      </w:r>
      <w:r w:rsidR="00A72DE4" w:rsidRPr="00993651">
        <w:rPr>
          <w:b/>
          <w:bCs/>
          <w:szCs w:val="24"/>
        </w:rPr>
        <w:t>S</w:t>
      </w:r>
      <w:r w:rsidR="00E63F1B">
        <w:rPr>
          <w:b/>
          <w:bCs/>
          <w:szCs w:val="24"/>
        </w:rPr>
        <w:t>4</w:t>
      </w:r>
      <w:r w:rsidR="00A72DE4" w:rsidRPr="00993651">
        <w:rPr>
          <w:b/>
          <w:bCs/>
          <w:szCs w:val="24"/>
        </w:rPr>
        <w:t xml:space="preserve">. </w:t>
      </w:r>
      <w:r w:rsidR="00A72DE4">
        <w:rPr>
          <w:bCs/>
          <w:i/>
          <w:szCs w:val="24"/>
        </w:rPr>
        <w:t>C</w:t>
      </w:r>
      <w:r w:rsidR="0075012F">
        <w:rPr>
          <w:bCs/>
          <w:i/>
          <w:szCs w:val="24"/>
        </w:rPr>
        <w:t>hanges in soil hydraulic conductance</w:t>
      </w:r>
    </w:p>
    <w:p w14:paraId="3142EA25" w14:textId="29E22599" w:rsidR="00DF3784" w:rsidRPr="00BC2D2A" w:rsidRDefault="0075012F" w:rsidP="00DF3784">
      <w:pPr>
        <w:spacing w:line="360" w:lineRule="auto"/>
        <w:ind w:firstLine="720"/>
        <w:jc w:val="both"/>
        <w:rPr>
          <w:szCs w:val="24"/>
        </w:rPr>
      </w:pPr>
      <w:r w:rsidRPr="00BC2D2A">
        <w:rPr>
          <w:szCs w:val="24"/>
        </w:rPr>
        <w:t xml:space="preserve">Changes in soil hydraulic conductance can also be included in SOX </w:t>
      </w:r>
      <w:r w:rsidR="00DF3784" w:rsidRPr="00BC2D2A">
        <w:rPr>
          <w:szCs w:val="24"/>
        </w:rPr>
        <w:t xml:space="preserve">by computing </w:t>
      </w:r>
      <w:proofErr w:type="spellStart"/>
      <w:r w:rsidR="00DF3784" w:rsidRPr="00BC2D2A">
        <w:rPr>
          <w:szCs w:val="24"/>
        </w:rPr>
        <w:t>Ψ</w:t>
      </w:r>
      <w:r w:rsidR="00DF3784" w:rsidRPr="00BC2D2A">
        <w:rPr>
          <w:szCs w:val="24"/>
          <w:vertAlign w:val="subscript"/>
        </w:rPr>
        <w:t>r</w:t>
      </w:r>
      <w:proofErr w:type="spellEnd"/>
      <w:r w:rsidR="00DF3784" w:rsidRPr="00BC2D2A">
        <w:rPr>
          <w:szCs w:val="24"/>
          <w:vertAlign w:val="subscript"/>
        </w:rPr>
        <w:t xml:space="preserve"> </w:t>
      </w:r>
      <w:r w:rsidR="00DF3784" w:rsidRPr="00BC2D2A">
        <w:rPr>
          <w:szCs w:val="24"/>
        </w:rPr>
        <w:t>as a function of soil-to-root conductance expressed on a leaf area basis (</w:t>
      </w:r>
      <w:proofErr w:type="spellStart"/>
      <w:r w:rsidR="00DF3784" w:rsidRPr="00BC2D2A">
        <w:rPr>
          <w:i/>
          <w:szCs w:val="24"/>
        </w:rPr>
        <w:t>k</w:t>
      </w:r>
      <w:r w:rsidR="00DF3784" w:rsidRPr="00BC2D2A">
        <w:rPr>
          <w:i/>
          <w:szCs w:val="24"/>
          <w:vertAlign w:val="subscript"/>
        </w:rPr>
        <w:t>sr</w:t>
      </w:r>
      <w:proofErr w:type="spellEnd"/>
      <w:r w:rsidR="00DF3784" w:rsidRPr="00BC2D2A">
        <w:rPr>
          <w:szCs w:val="24"/>
        </w:rPr>
        <w:t xml:space="preserve">; </w:t>
      </w:r>
      <w:proofErr w:type="spellStart"/>
      <w:r w:rsidR="00DF3784" w:rsidRPr="00BC2D2A">
        <w:rPr>
          <w:szCs w:val="24"/>
        </w:rPr>
        <w:t>mol</w:t>
      </w:r>
      <w:proofErr w:type="spellEnd"/>
      <w:r w:rsidR="00DF3784" w:rsidRPr="00BC2D2A">
        <w:rPr>
          <w:szCs w:val="24"/>
        </w:rPr>
        <w:t xml:space="preserve"> m</w:t>
      </w:r>
      <w:r w:rsidR="00DF3784" w:rsidRPr="00BC2D2A">
        <w:rPr>
          <w:szCs w:val="24"/>
          <w:vertAlign w:val="superscript"/>
        </w:rPr>
        <w:t>-2</w:t>
      </w:r>
      <w:r w:rsidR="00DF3784" w:rsidRPr="00BC2D2A">
        <w:rPr>
          <w:szCs w:val="24"/>
        </w:rPr>
        <w:t xml:space="preserve"> leaf s</w:t>
      </w:r>
      <w:r w:rsidR="00DF3784" w:rsidRPr="00BC2D2A">
        <w:rPr>
          <w:szCs w:val="24"/>
          <w:vertAlign w:val="superscript"/>
        </w:rPr>
        <w:t>-1</w:t>
      </w:r>
      <w:r w:rsidR="00DF3784" w:rsidRPr="00BC2D2A">
        <w:rPr>
          <w:szCs w:val="24"/>
        </w:rPr>
        <w:t>):</w:t>
      </w:r>
    </w:p>
    <w:p w14:paraId="6F1D646E" w14:textId="26AF6124" w:rsidR="00DF3784" w:rsidRPr="00BC2D2A" w:rsidRDefault="00EA5F47" w:rsidP="00DF3784">
      <w:pPr>
        <w:spacing w:line="360" w:lineRule="auto"/>
        <w:ind w:firstLine="720"/>
        <w:jc w:val="both"/>
        <w:rPr>
          <w:szCs w:val="24"/>
        </w:rPr>
      </w:pPr>
      <m:oMath>
        <m:sSub>
          <m:sSubPr>
            <m:ctrlPr>
              <w:rPr>
                <w:rFonts w:ascii="Cambria Math" w:hAnsi="Cambria Math"/>
                <w:i/>
                <w:szCs w:val="24"/>
              </w:rPr>
            </m:ctrlPr>
          </m:sSubPr>
          <m:e>
            <m:r>
              <w:rPr>
                <w:rFonts w:ascii="Cambria Math" w:hAnsi="Cambria Math"/>
                <w:szCs w:val="24"/>
              </w:rPr>
              <m:t>Ψ</m:t>
            </m:r>
          </m:e>
          <m:sub>
            <m:r>
              <w:rPr>
                <w:rFonts w:ascii="Cambria Math" w:hAnsi="Cambria Math"/>
                <w:szCs w:val="24"/>
              </w:rPr>
              <m:t>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Ψ</m:t>
            </m:r>
          </m:e>
          <m:sub>
            <m:r>
              <w:rPr>
                <w:rFonts w:ascii="Cambria Math" w:hAnsi="Cambria Math"/>
                <w:szCs w:val="24"/>
              </w:rPr>
              <m:t>s</m:t>
            </m:r>
          </m:sub>
        </m:sSub>
        <m:r>
          <w:rPr>
            <w:rFonts w:ascii="Cambria Math" w:hAnsi="Cambria Math"/>
            <w:szCs w:val="24"/>
          </w:rPr>
          <m:t>-</m:t>
        </m:r>
        <m:f>
          <m:fPr>
            <m:ctrlPr>
              <w:rPr>
                <w:rFonts w:ascii="Cambria Math" w:hAnsi="Cambria Math"/>
                <w:i/>
                <w:szCs w:val="24"/>
              </w:rPr>
            </m:ctrlPr>
          </m:fPr>
          <m:num>
            <m:r>
              <w:rPr>
                <w:rFonts w:ascii="Cambria Math" w:hAnsi="Cambria Math"/>
                <w:szCs w:val="24"/>
              </w:rPr>
              <m:t>E</m:t>
            </m:r>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sr</m:t>
                </m:r>
              </m:sub>
            </m:sSub>
          </m:den>
        </m:f>
      </m:oMath>
      <w:r w:rsidR="00DF3784" w:rsidRPr="00BC2D2A">
        <w:rPr>
          <w:szCs w:val="24"/>
        </w:rPr>
        <w:t xml:space="preserve"> </w:t>
      </w:r>
      <w:r w:rsidR="00DF3784" w:rsidRPr="00BC2D2A">
        <w:rPr>
          <w:szCs w:val="24"/>
        </w:rPr>
        <w:tab/>
      </w:r>
      <w:r w:rsidR="00DF3784" w:rsidRPr="00BC2D2A">
        <w:rPr>
          <w:szCs w:val="24"/>
        </w:rPr>
        <w:tab/>
      </w:r>
      <w:r w:rsidR="00DF3784" w:rsidRPr="00BC2D2A">
        <w:rPr>
          <w:szCs w:val="24"/>
        </w:rPr>
        <w:tab/>
      </w:r>
    </w:p>
    <w:p w14:paraId="55A2CBBE" w14:textId="15BA74D9" w:rsidR="00DF3784" w:rsidRPr="00BC2D2A" w:rsidRDefault="00DF3784" w:rsidP="00DF3784">
      <w:pPr>
        <w:spacing w:line="360" w:lineRule="auto"/>
        <w:jc w:val="both"/>
        <w:rPr>
          <w:szCs w:val="24"/>
        </w:rPr>
      </w:pPr>
      <w:r w:rsidRPr="00BC2D2A">
        <w:rPr>
          <w:szCs w:val="24"/>
        </w:rPr>
        <w:lastRenderedPageBreak/>
        <w:t xml:space="preserve">where </w:t>
      </w:r>
      <w:proofErr w:type="spellStart"/>
      <w:r w:rsidRPr="00BC2D2A">
        <w:rPr>
          <w:szCs w:val="24"/>
        </w:rPr>
        <w:t>Ψ</w:t>
      </w:r>
      <w:r w:rsidRPr="00BC2D2A">
        <w:rPr>
          <w:szCs w:val="24"/>
          <w:vertAlign w:val="subscript"/>
        </w:rPr>
        <w:t>s</w:t>
      </w:r>
      <w:proofErr w:type="spellEnd"/>
      <w:r w:rsidRPr="00BC2D2A">
        <w:rPr>
          <w:szCs w:val="24"/>
          <w:vertAlign w:val="subscript"/>
        </w:rPr>
        <w:t xml:space="preserve"> </w:t>
      </w:r>
      <w:r w:rsidRPr="00BC2D2A">
        <w:rPr>
          <w:szCs w:val="24"/>
        </w:rPr>
        <w:t xml:space="preserve">is the Ψ of the bulk soil close to roots. Assuming </w:t>
      </w:r>
      <w:proofErr w:type="spellStart"/>
      <w:r w:rsidRPr="00BC2D2A">
        <w:rPr>
          <w:i/>
          <w:szCs w:val="24"/>
        </w:rPr>
        <w:t>k</w:t>
      </w:r>
      <w:r w:rsidRPr="00BC2D2A">
        <w:rPr>
          <w:i/>
          <w:szCs w:val="24"/>
          <w:vertAlign w:val="subscript"/>
        </w:rPr>
        <w:t>sr</w:t>
      </w:r>
      <w:proofErr w:type="spellEnd"/>
      <w:r w:rsidRPr="00BC2D2A">
        <w:rPr>
          <w:szCs w:val="24"/>
        </w:rPr>
        <w:t xml:space="preserve"> changes are dominated by soil hydraulic conductance changes we use Clapp &amp; Hornberger </w:t>
      </w:r>
      <w:r w:rsidRPr="00BC2D2A">
        <w:rPr>
          <w:szCs w:val="24"/>
        </w:rPr>
        <w:fldChar w:fldCharType="begin" w:fldLock="1"/>
      </w:r>
      <w:r w:rsidR="00BC06F6">
        <w:rPr>
          <w:szCs w:val="24"/>
        </w:rPr>
        <w:instrText>ADDIN CSL_CITATION {"citationItems":[{"id":"ITEM-1","itemData":{"DOI":"10.1029/WR014i004p00601","ISBN":"1978101029","ISSN":"19447973","PMID":"7640525","abstract":"The soil moisture characteristic may be modeled as a power curve combined with a short parabolic section near saturation to represent gradual air entry. This two-part function—together with a power function relating soil moisture and hydraulic conductivity—is used to derive a formula for the wetting front suction required by the Green-Ampt equation. Representative parameters for the moisture characteristic, the wetting front suction, and the sorptivity, a parameter in the infiltration equation derived by Philip (1957), are computed by using the desorption data of Holtan et al. (1968). Average values of the parameters, and associated standard deviations, are calculated for 11 soil textural classes. The results of this study indicate that the exponent of the moisture characteristic power curve can be predicted reasonably well from soil texture and that gradual air entry may have a considerable effect on a soil's wetting front suction.","author":[{"dropping-particle":"","family":"Clapp","given":"Roger B.","non-dropping-particle":"","parse-names":false,"suffix":""},{"dropping-particle":"","family":"Hornberger","given":"George M.","non-dropping-particle":"","parse-names":false,"suffix":""}],"container-title":"Water Resources Research","id":"ITEM-1","issue":"4","issued":{"date-parts":[["1978"]]},"page":"601-604","title":"Empirical equations for some soil hydraulic properties","type":"article-journal","volume":"14"},"uris":["http://www.mendeley.com/documents/?uuid=a2542bda-50a1-469f-aa98-99e7b0bf3627"]}],"mendeley":{"formattedCitation":"[4]","plainTextFormattedCitation":"[4]","previouslyFormattedCitation":"[4]"},"properties":{"noteIndex":0},"schema":"https://github.com/citation-style-language/schema/raw/master/csl-citation.json"}</w:instrText>
      </w:r>
      <w:r w:rsidRPr="00BC2D2A">
        <w:rPr>
          <w:szCs w:val="24"/>
        </w:rPr>
        <w:fldChar w:fldCharType="separate"/>
      </w:r>
      <w:r w:rsidR="006015F6" w:rsidRPr="006015F6">
        <w:rPr>
          <w:noProof/>
          <w:szCs w:val="24"/>
        </w:rPr>
        <w:t>[4]</w:t>
      </w:r>
      <w:r w:rsidRPr="00BC2D2A">
        <w:rPr>
          <w:szCs w:val="24"/>
        </w:rPr>
        <w:fldChar w:fldCharType="end"/>
      </w:r>
      <w:r w:rsidRPr="00BC2D2A">
        <w:rPr>
          <w:szCs w:val="24"/>
        </w:rPr>
        <w:t xml:space="preserve"> to model the relationship between </w:t>
      </w:r>
      <w:proofErr w:type="spellStart"/>
      <w:r w:rsidRPr="00BC2D2A">
        <w:rPr>
          <w:i/>
          <w:szCs w:val="24"/>
        </w:rPr>
        <w:t>k</w:t>
      </w:r>
      <w:r w:rsidRPr="00BC2D2A">
        <w:rPr>
          <w:i/>
          <w:szCs w:val="24"/>
          <w:vertAlign w:val="subscript"/>
        </w:rPr>
        <w:t>sr</w:t>
      </w:r>
      <w:proofErr w:type="spellEnd"/>
      <w:r w:rsidRPr="00BC2D2A">
        <w:rPr>
          <w:i/>
          <w:szCs w:val="24"/>
          <w:vertAlign w:val="subscript"/>
        </w:rPr>
        <w:t xml:space="preserve"> </w:t>
      </w:r>
      <w:r>
        <w:rPr>
          <w:szCs w:val="24"/>
        </w:rPr>
        <w:t>and</w:t>
      </w:r>
      <w:r w:rsidRPr="00BC2D2A">
        <w:rPr>
          <w:szCs w:val="24"/>
        </w:rPr>
        <w:t xml:space="preserve"> </w:t>
      </w:r>
      <w:proofErr w:type="spellStart"/>
      <w:r w:rsidRPr="00BC2D2A">
        <w:rPr>
          <w:szCs w:val="24"/>
        </w:rPr>
        <w:t>Ψ</w:t>
      </w:r>
      <w:r w:rsidRPr="00BC2D2A">
        <w:rPr>
          <w:szCs w:val="24"/>
          <w:vertAlign w:val="subscript"/>
        </w:rPr>
        <w:t>s</w:t>
      </w:r>
      <w:proofErr w:type="spellEnd"/>
      <w:r w:rsidRPr="00BC2D2A">
        <w:rPr>
          <w:szCs w:val="24"/>
        </w:rPr>
        <w:t>:</w:t>
      </w:r>
    </w:p>
    <w:p w14:paraId="616F148F" w14:textId="312E5C99" w:rsidR="00DF3784" w:rsidRPr="00BC2D2A" w:rsidRDefault="00EA5F47" w:rsidP="00DF3784">
      <w:pPr>
        <w:spacing w:line="360" w:lineRule="auto"/>
        <w:ind w:firstLine="720"/>
        <w:jc w:val="both"/>
        <w:rPr>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sr,max</m:t>
            </m:r>
          </m:sub>
        </m:sSub>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θ</m:t>
                    </m:r>
                  </m:num>
                  <m:den>
                    <m:sSub>
                      <m:sSubPr>
                        <m:ctrlPr>
                          <w:rPr>
                            <w:rFonts w:ascii="Cambria Math" w:hAnsi="Cambria Math"/>
                            <w:i/>
                            <w:szCs w:val="24"/>
                          </w:rPr>
                        </m:ctrlPr>
                      </m:sSubPr>
                      <m:e>
                        <m:r>
                          <w:rPr>
                            <w:rFonts w:ascii="Cambria Math" w:hAnsi="Cambria Math"/>
                            <w:szCs w:val="24"/>
                          </w:rPr>
                          <m:t>θ</m:t>
                        </m:r>
                      </m:e>
                      <m:sub>
                        <m:r>
                          <w:rPr>
                            <w:rFonts w:ascii="Cambria Math" w:hAnsi="Cambria Math"/>
                            <w:szCs w:val="24"/>
                          </w:rPr>
                          <m:t>s</m:t>
                        </m:r>
                      </m:sub>
                    </m:sSub>
                  </m:den>
                </m:f>
              </m:e>
            </m:d>
          </m:e>
          <m:sup>
            <m:r>
              <w:rPr>
                <w:rFonts w:ascii="Cambria Math" w:hAnsi="Cambria Math"/>
                <w:szCs w:val="24"/>
              </w:rPr>
              <m:t>2b+3</m:t>
            </m:r>
          </m:sup>
        </m:sSup>
      </m:oMath>
      <w:r w:rsidR="00DF3784" w:rsidRPr="00BC2D2A">
        <w:rPr>
          <w:szCs w:val="24"/>
        </w:rPr>
        <w:t xml:space="preserve"> </w:t>
      </w:r>
      <w:r w:rsidR="00DF3784" w:rsidRPr="00BC2D2A">
        <w:rPr>
          <w:szCs w:val="24"/>
        </w:rPr>
        <w:tab/>
      </w:r>
      <w:r w:rsidR="00DF3784" w:rsidRPr="00BC2D2A">
        <w:rPr>
          <w:szCs w:val="24"/>
        </w:rPr>
        <w:tab/>
      </w:r>
      <w:r w:rsidR="00DF3784" w:rsidRPr="00BC2D2A">
        <w:rPr>
          <w:szCs w:val="24"/>
        </w:rPr>
        <w:tab/>
      </w:r>
      <w:r w:rsidR="00DF3784" w:rsidRPr="00BC2D2A">
        <w:rPr>
          <w:szCs w:val="24"/>
        </w:rPr>
        <w:tab/>
      </w:r>
      <w:r w:rsidR="00DF3784" w:rsidRPr="00BC2D2A">
        <w:rPr>
          <w:szCs w:val="24"/>
        </w:rPr>
        <w:tab/>
      </w:r>
      <w:r w:rsidR="00DF3784" w:rsidRPr="00BC2D2A">
        <w:rPr>
          <w:szCs w:val="24"/>
        </w:rPr>
        <w:tab/>
      </w:r>
      <w:r w:rsidR="00DF3784" w:rsidRPr="00BC2D2A">
        <w:rPr>
          <w:szCs w:val="24"/>
        </w:rPr>
        <w:tab/>
      </w:r>
    </w:p>
    <w:p w14:paraId="7D74984C" w14:textId="77777777" w:rsidR="00DF3784" w:rsidRPr="00BC2D2A" w:rsidRDefault="00DF3784" w:rsidP="00DF3784">
      <w:pPr>
        <w:spacing w:line="360" w:lineRule="auto"/>
        <w:jc w:val="both"/>
        <w:rPr>
          <w:szCs w:val="24"/>
        </w:rPr>
      </w:pPr>
      <w:proofErr w:type="gramStart"/>
      <w:r w:rsidRPr="00BC2D2A">
        <w:rPr>
          <w:szCs w:val="24"/>
        </w:rPr>
        <w:t>where</w:t>
      </w:r>
      <w:proofErr w:type="gramEnd"/>
      <w:r w:rsidRPr="00BC2D2A">
        <w:rPr>
          <w:szCs w:val="24"/>
        </w:rPr>
        <w:t xml:space="preserve"> </w:t>
      </w:r>
      <w:proofErr w:type="spellStart"/>
      <w:r w:rsidRPr="00BC2D2A">
        <w:rPr>
          <w:i/>
          <w:szCs w:val="24"/>
        </w:rPr>
        <w:t>k</w:t>
      </w:r>
      <w:r w:rsidRPr="00BC2D2A">
        <w:rPr>
          <w:i/>
          <w:szCs w:val="24"/>
          <w:vertAlign w:val="subscript"/>
        </w:rPr>
        <w:t>sr,</w:t>
      </w:r>
      <w:r w:rsidRPr="00BC2D2A">
        <w:rPr>
          <w:szCs w:val="24"/>
          <w:vertAlign w:val="subscript"/>
        </w:rPr>
        <w:t>max</w:t>
      </w:r>
      <w:proofErr w:type="spellEnd"/>
      <w:r w:rsidRPr="00BC2D2A">
        <w:rPr>
          <w:szCs w:val="24"/>
          <w:vertAlign w:val="subscript"/>
        </w:rPr>
        <w:t xml:space="preserve"> </w:t>
      </w:r>
      <w:r w:rsidRPr="00BC2D2A">
        <w:rPr>
          <w:szCs w:val="24"/>
        </w:rPr>
        <w:t xml:space="preserve">is </w:t>
      </w:r>
      <w:proofErr w:type="spellStart"/>
      <w:r w:rsidRPr="00BC2D2A">
        <w:rPr>
          <w:i/>
          <w:szCs w:val="24"/>
        </w:rPr>
        <w:t>k</w:t>
      </w:r>
      <w:r w:rsidRPr="00BC2D2A">
        <w:rPr>
          <w:i/>
          <w:szCs w:val="24"/>
          <w:vertAlign w:val="subscript"/>
        </w:rPr>
        <w:t>sr</w:t>
      </w:r>
      <w:proofErr w:type="spellEnd"/>
      <w:r w:rsidRPr="00BC2D2A">
        <w:rPr>
          <w:szCs w:val="24"/>
        </w:rPr>
        <w:t xml:space="preserve"> at saturated soil, </w:t>
      </w:r>
      <w:r w:rsidRPr="00BC2D2A">
        <w:rPr>
          <w:i/>
          <w:szCs w:val="24"/>
        </w:rPr>
        <w:t>b</w:t>
      </w:r>
      <w:r w:rsidRPr="00BC2D2A">
        <w:rPr>
          <w:szCs w:val="24"/>
        </w:rPr>
        <w:t xml:space="preserve"> is an empirically estimated parameter related with soil physical properties, θ is the soil volumetric water content (m</w:t>
      </w:r>
      <w:r w:rsidRPr="00BC2D2A">
        <w:rPr>
          <w:szCs w:val="24"/>
          <w:vertAlign w:val="superscript"/>
        </w:rPr>
        <w:t>3</w:t>
      </w:r>
      <w:r w:rsidRPr="00BC2D2A">
        <w:rPr>
          <w:szCs w:val="24"/>
        </w:rPr>
        <w:t xml:space="preserve"> m</w:t>
      </w:r>
      <w:r w:rsidRPr="00BC2D2A">
        <w:rPr>
          <w:szCs w:val="24"/>
          <w:vertAlign w:val="superscript"/>
        </w:rPr>
        <w:t>-3</w:t>
      </w:r>
      <w:r w:rsidRPr="00BC2D2A">
        <w:rPr>
          <w:szCs w:val="24"/>
        </w:rPr>
        <w:t xml:space="preserve">) and </w:t>
      </w:r>
      <w:proofErr w:type="spellStart"/>
      <w:r w:rsidRPr="00BC2D2A">
        <w:rPr>
          <w:szCs w:val="24"/>
        </w:rPr>
        <w:t>θ</w:t>
      </w:r>
      <w:r w:rsidRPr="00BC2D2A">
        <w:rPr>
          <w:szCs w:val="24"/>
          <w:vertAlign w:val="subscript"/>
        </w:rPr>
        <w:t>max</w:t>
      </w:r>
      <w:proofErr w:type="spellEnd"/>
      <w:r w:rsidRPr="00BC2D2A">
        <w:rPr>
          <w:szCs w:val="24"/>
        </w:rPr>
        <w:t xml:space="preserve"> is the saturated soil θ, which can be related to </w:t>
      </w:r>
      <w:proofErr w:type="spellStart"/>
      <w:r w:rsidRPr="00BC2D2A">
        <w:rPr>
          <w:szCs w:val="24"/>
        </w:rPr>
        <w:t>Ψ</w:t>
      </w:r>
      <w:r w:rsidRPr="00BC2D2A">
        <w:rPr>
          <w:szCs w:val="24"/>
          <w:vertAlign w:val="subscript"/>
        </w:rPr>
        <w:t>s</w:t>
      </w:r>
      <w:proofErr w:type="spellEnd"/>
      <w:r w:rsidRPr="00BC2D2A">
        <w:rPr>
          <w:szCs w:val="24"/>
          <w:vertAlign w:val="subscript"/>
        </w:rPr>
        <w:t xml:space="preserve"> </w:t>
      </w:r>
      <w:r w:rsidRPr="00BC2D2A">
        <w:rPr>
          <w:szCs w:val="24"/>
        </w:rPr>
        <w:t>as:</w:t>
      </w:r>
    </w:p>
    <w:p w14:paraId="7D03A074" w14:textId="5AA32E1A" w:rsidR="00DF3784" w:rsidRPr="00BC2D2A" w:rsidRDefault="00EA5F47" w:rsidP="00DF3784">
      <w:pPr>
        <w:spacing w:line="360" w:lineRule="auto"/>
        <w:ind w:firstLine="720"/>
        <w:jc w:val="both"/>
        <w:rPr>
          <w:szCs w:val="24"/>
        </w:rPr>
      </w:pPr>
      <m:oMath>
        <m:f>
          <m:fPr>
            <m:ctrlPr>
              <w:rPr>
                <w:rFonts w:ascii="Cambria Math" w:hAnsi="Cambria Math"/>
                <w:i/>
                <w:szCs w:val="24"/>
              </w:rPr>
            </m:ctrlPr>
          </m:fPr>
          <m:num>
            <m:r>
              <w:rPr>
                <w:rFonts w:ascii="Cambria Math" w:hAnsi="Cambria Math"/>
                <w:szCs w:val="24"/>
              </w:rPr>
              <m:t>θ</m:t>
            </m:r>
          </m:num>
          <m:den>
            <m:sSub>
              <m:sSubPr>
                <m:ctrlPr>
                  <w:rPr>
                    <w:rFonts w:ascii="Cambria Math" w:hAnsi="Cambria Math"/>
                    <w:i/>
                    <w:szCs w:val="24"/>
                  </w:rPr>
                </m:ctrlPr>
              </m:sSubPr>
              <m:e>
                <m:r>
                  <w:rPr>
                    <w:rFonts w:ascii="Cambria Math" w:hAnsi="Cambria Math"/>
                    <w:szCs w:val="24"/>
                  </w:rPr>
                  <m:t>θ</m:t>
                </m:r>
              </m:e>
              <m:sub>
                <m:r>
                  <w:rPr>
                    <w:rFonts w:ascii="Cambria Math" w:hAnsi="Cambria Math"/>
                    <w:szCs w:val="24"/>
                  </w:rPr>
                  <m:t>s</m:t>
                </m:r>
              </m:sub>
            </m:sSub>
          </m:den>
        </m:f>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Ψ</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Ψ</m:t>
                        </m:r>
                      </m:e>
                      <m:sub>
                        <m:r>
                          <w:rPr>
                            <w:rFonts w:ascii="Cambria Math" w:hAnsi="Cambria Math"/>
                            <w:szCs w:val="24"/>
                          </w:rPr>
                          <m:t>s,max</m:t>
                        </m:r>
                      </m:sub>
                    </m:sSub>
                  </m:den>
                </m:f>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-b</m:t>
                </m:r>
              </m:den>
            </m:f>
          </m:sup>
        </m:sSup>
      </m:oMath>
      <w:r w:rsidR="00DF3784" w:rsidRPr="00BC2D2A">
        <w:rPr>
          <w:szCs w:val="24"/>
        </w:rPr>
        <w:tab/>
      </w:r>
      <w:r w:rsidR="00DF3784" w:rsidRPr="00BC2D2A">
        <w:rPr>
          <w:szCs w:val="24"/>
        </w:rPr>
        <w:tab/>
      </w:r>
    </w:p>
    <w:p w14:paraId="6ED0743C" w14:textId="6E12D342" w:rsidR="00A72DE4" w:rsidRPr="007A70EA" w:rsidRDefault="00DF3784" w:rsidP="0075012F">
      <w:pPr>
        <w:spacing w:line="360" w:lineRule="auto"/>
        <w:jc w:val="both"/>
        <w:rPr>
          <w:szCs w:val="24"/>
        </w:rPr>
      </w:pPr>
      <w:proofErr w:type="gramStart"/>
      <w:r w:rsidRPr="00BC2D2A">
        <w:rPr>
          <w:szCs w:val="24"/>
        </w:rPr>
        <w:t>where</w:t>
      </w:r>
      <w:proofErr w:type="gramEnd"/>
      <w:r w:rsidRPr="00BC2D2A">
        <w:rPr>
          <w:szCs w:val="24"/>
        </w:rPr>
        <w:t xml:space="preserve"> </w:t>
      </w:r>
      <w:proofErr w:type="spellStart"/>
      <w:r w:rsidRPr="00BC2D2A">
        <w:rPr>
          <w:szCs w:val="24"/>
        </w:rPr>
        <w:t>Ψ</w:t>
      </w:r>
      <w:r w:rsidRPr="00BC2D2A">
        <w:rPr>
          <w:szCs w:val="24"/>
          <w:vertAlign w:val="subscript"/>
        </w:rPr>
        <w:t>s,max</w:t>
      </w:r>
      <w:proofErr w:type="spellEnd"/>
      <w:r w:rsidRPr="00BC2D2A">
        <w:rPr>
          <w:szCs w:val="24"/>
          <w:vertAlign w:val="subscript"/>
        </w:rPr>
        <w:t xml:space="preserve"> </w:t>
      </w:r>
      <w:r w:rsidRPr="00BC2D2A">
        <w:rPr>
          <w:szCs w:val="24"/>
        </w:rPr>
        <w:t xml:space="preserve">is the </w:t>
      </w:r>
      <w:proofErr w:type="spellStart"/>
      <w:r w:rsidRPr="00BC2D2A">
        <w:rPr>
          <w:szCs w:val="24"/>
        </w:rPr>
        <w:t>Ψ</w:t>
      </w:r>
      <w:r w:rsidRPr="00BC2D2A">
        <w:rPr>
          <w:szCs w:val="24"/>
          <w:vertAlign w:val="subscript"/>
        </w:rPr>
        <w:t>s</w:t>
      </w:r>
      <w:proofErr w:type="spellEnd"/>
      <w:r w:rsidRPr="00BC2D2A">
        <w:rPr>
          <w:szCs w:val="24"/>
          <w:vertAlign w:val="subscript"/>
        </w:rPr>
        <w:t xml:space="preserve"> </w:t>
      </w:r>
      <w:r w:rsidRPr="00BC2D2A">
        <w:rPr>
          <w:szCs w:val="24"/>
        </w:rPr>
        <w:t xml:space="preserve">of the saturated soil. </w:t>
      </w:r>
      <w:r>
        <w:rPr>
          <w:szCs w:val="24"/>
        </w:rPr>
        <w:t xml:space="preserve">Most DGVMs already have soil hydrological schemes that compute </w:t>
      </w:r>
      <w:proofErr w:type="spellStart"/>
      <w:r w:rsidRPr="00BC2D2A">
        <w:rPr>
          <w:szCs w:val="24"/>
        </w:rPr>
        <w:t>Ψ</w:t>
      </w:r>
      <w:r w:rsidRPr="00BC2D2A">
        <w:rPr>
          <w:szCs w:val="24"/>
          <w:vertAlign w:val="subscript"/>
        </w:rPr>
        <w:t>s</w:t>
      </w:r>
      <w:proofErr w:type="spellEnd"/>
      <w:r>
        <w:rPr>
          <w:szCs w:val="24"/>
          <w:vertAlign w:val="subscript"/>
        </w:rPr>
        <w:t xml:space="preserve"> </w:t>
      </w:r>
      <w:r>
        <w:rPr>
          <w:szCs w:val="24"/>
        </w:rPr>
        <w:t xml:space="preserve">and soil conductivity using </w:t>
      </w:r>
      <w:r w:rsidRPr="00BC2D2A">
        <w:rPr>
          <w:szCs w:val="24"/>
        </w:rPr>
        <w:t xml:space="preserve">Clapp &amp; Hornberger </w:t>
      </w:r>
      <w:r>
        <w:rPr>
          <w:szCs w:val="24"/>
        </w:rPr>
        <w:t xml:space="preserve">or similar equations </w:t>
      </w:r>
      <w:r>
        <w:rPr>
          <w:szCs w:val="24"/>
        </w:rPr>
        <w:fldChar w:fldCharType="begin" w:fldLock="1"/>
      </w:r>
      <w:r w:rsidR="00BC06F6">
        <w:rPr>
          <w:szCs w:val="24"/>
        </w:rPr>
        <w:instrText>ADDIN CSL_CITATION {"citationItems":[{"id":"ITEM-1","itemData":{"ISSN":"1991-959X","author":[{"dropping-particle":"","family":"Best","given":"M J","non-dropping-particle":"","parse-names":false,"suffix":""},{"dropping-particle":"","family":"Pryor","given":"M","non-dropping-particle":"","parse-names":false,"suffix":""},{"dropping-particle":"","family":"Clark","given":"D B","non-dropping-particle":"","parse-names":false,"suffix":""},{"dropping-particle":"","family":"Rooney","given":"G G","non-dropping-particle":"","parse-names":false,"suffix":""},{"dropping-particle":"","family":"Essery","given":"R","non-dropping-particle":"","parse-names":false,"suffix":""},{"dropping-particle":"","family":"Ménard","given":"C B","non-dropping-particle":"","parse-names":false,"suffix":""},{"dropping-particle":"","family":"Edwards","given":"J M","non-dropping-particle":"","parse-names":false,"suffix":""},{"dropping-particle":"","family":"Hendry","given":"M A","non-dropping-particle":"","parse-names":false,"suffix":""},{"dropping-particle":"","family":"Porson","given":"A","non-dropping-particle":"","parse-names":false,"suffix":""},{"dropping-particle":"","family":"Gedney","given":"N","non-dropping-particle":"","parse-names":false,"suffix":""}],"container-title":"Geoscientific Model Development","id":"ITEM-1","issue":"3","issued":{"date-parts":[["2011"]]},"page":"677-699","publisher":"Copernicus GmbH","title":"The Joint UK Land Environment Simulator (JULES), model description–Part 1: energy and water fluxes","type":"article-journal","volume":"4"},"uris":["http://www.mendeley.com/documents/?uuid=b5055a32-edfd-4b86-8f4a-32aa1298d100"]},{"id":"ITEM-2","itemData":{"DOI":"10.5065/D6N877R0","ISBN":"NCAR Technical Note 461+STR","abstract":"The purpose of this technical note is to describe the physical parameterizations and numerical implementation of version 4.0 of the Community Land Model (CLM4.0) which is the land surface parameterization used with the Community Atmosphere Model (CAM4.0) and the Community Climate System Model (CCSM4.0). Scientific justification and evaluation of these parameterizations can be found in the referenced scientific papers (section 18). Chapters 1-16 constitute the description of CLM when coupled to CAM or CCSM, while Chapter 17 describes processes that pertain specifically to the operation of CLM in offline mode (uncoupled to an atmospheric model). Chapters 13 and 14 provide brief overviews only of the urban and carbon-nitrogen submodels. Full technical descriptions of these submodels can be found in Oleson et al. (2010) and Thornton et al. (2010, in preparation), respectively. These technical notes and the CLM4 User's Guide together provide the user with the scientific description and operating instructions for CLM.","author":[{"dropping-particle":"","family":"Oleson","given":"Keith W","non-dropping-particle":"","parse-names":false,"suffix":""},{"dropping-particle":"","family":"Dai","given":"Yongjiu","non-dropping-particle":"","parse-names":false,"suffix":""},{"dropping-particle":"","family":"Bonan","given":"Gordon B","non-dropping-particle":"","parse-names":false,"suffix":""},{"dropping-particle":"","family":"Bosilovich","given":"Mike","non-dropping-particle":"","parse-names":false,"suffix":""},{"dropping-particle":"","family":"Dickinson","given":"Robert E","non-dropping-particle":"","parse-names":false,"suffix":""},{"dropping-particle":"","family":"Dirmeyer","given":"Paul A.","non-dropping-particle":"","parse-names":false,"suffix":""},{"dropping-particle":"","family":"Hoffman","given":"Forrest","non-dropping-particle":"","parse-names":false,"suffix":""},{"dropping-particle":"","family":"Houser","given":"Paul R.","non-dropping-particle":"","parse-names":false,"suffix":""},{"dropping-particle":"","family":"Levis","given":"Samuel","non-dropping-particle":"","parse-names":false,"suffix":""},{"dropping-particle":"","family":"Niu","given":"Guo-Yue","non-dropping-particle":"","parse-names":false,"suffix":""},{"dropping-particle":"","family":"Thornton","given":"Peter","non-dropping-particle":"","parse-names":false,"suffix":""},{"dropping-particle":"","family":"Vertenstein","given":"Mariana","non-dropping-particle":"","parse-names":false,"suffix":""},{"dropping-particle":"","family":"Yang","given":"Zong-Liang","non-dropping-particle":"","parse-names":false,"suffix":""},{"dropping-particle":"","family":"Zeng","given":"Xubin","non-dropping-particle":"","parse-names":false,"suffix":""},{"dropping-particle":"","family":"Dickenson","given":"Robert","non-dropping-particle":"","parse-names":false,"suffix":""},{"dropping-particle":"","family":"Dirmeyer","given":"Paul A.","non-dropping-particle":"","parse-names":false,"suffix":""},{"dropping-particle":"","family":"Hoffman","given":"Forrest","non-dropping-particle":"","parse-names":false,"suffix":""},{"dropping-particle":"","family":"Houser","given":"Paul R.","non-dropping-particle":"","parse-names":false,"suffix":""}],"container-title":"NCAR Technical Note","id":"ITEM-2","issued":{"date-parts":[["2004"]]},"title":"Technical Description of the Community Land Model (CLM)","type":"article-journal"},"uris":["http://www.mendeley.com/documents/?uuid=9eaa35ac-c48f-438f-be50-26592146b9f1"]}],"mendeley":{"formattedCitation":"[5,6]","plainTextFormattedCitation":"[5,6]","previouslyFormattedCitation":"[5,6]"},"properties":{"noteIndex":0},"schema":"https://github.com/citation-style-language/schema/raw/master/csl-citation.json"}</w:instrText>
      </w:r>
      <w:r>
        <w:rPr>
          <w:szCs w:val="24"/>
        </w:rPr>
        <w:fldChar w:fldCharType="separate"/>
      </w:r>
      <w:r w:rsidR="006015F6" w:rsidRPr="006015F6">
        <w:rPr>
          <w:noProof/>
          <w:szCs w:val="24"/>
        </w:rPr>
        <w:t>[5,6]</w:t>
      </w:r>
      <w:r>
        <w:rPr>
          <w:szCs w:val="24"/>
        </w:rPr>
        <w:fldChar w:fldCharType="end"/>
      </w:r>
      <w:r>
        <w:rPr>
          <w:szCs w:val="24"/>
        </w:rPr>
        <w:t xml:space="preserve">, and equation 10 would be compatible with any of these models. For calculating the </w:t>
      </w:r>
      <w:proofErr w:type="spellStart"/>
      <w:r w:rsidRPr="00BC2D2A">
        <w:rPr>
          <w:szCs w:val="24"/>
        </w:rPr>
        <w:t>Ψ</w:t>
      </w:r>
      <w:r w:rsidRPr="00BC2D2A">
        <w:rPr>
          <w:szCs w:val="24"/>
          <w:vertAlign w:val="subscript"/>
        </w:rPr>
        <w:t>s</w:t>
      </w:r>
      <w:proofErr w:type="spellEnd"/>
      <w:r>
        <w:rPr>
          <w:szCs w:val="24"/>
          <w:vertAlign w:val="subscript"/>
        </w:rPr>
        <w:t xml:space="preserve"> </w:t>
      </w:r>
      <w:r>
        <w:rPr>
          <w:szCs w:val="24"/>
        </w:rPr>
        <w:t xml:space="preserve">over multiple soil layers, often simulated in DGVMs, the root fraction and soil moisture in each layer can be used to compute the weighted mean </w:t>
      </w:r>
      <w:proofErr w:type="spellStart"/>
      <w:r w:rsidRPr="00BC2D2A">
        <w:rPr>
          <w:szCs w:val="24"/>
        </w:rPr>
        <w:t>Ψ</w:t>
      </w:r>
      <w:r w:rsidRPr="00BC2D2A">
        <w:rPr>
          <w:szCs w:val="24"/>
          <w:vertAlign w:val="subscript"/>
        </w:rPr>
        <w:t>s</w:t>
      </w:r>
      <w:proofErr w:type="spellEnd"/>
      <w:r>
        <w:rPr>
          <w:szCs w:val="24"/>
          <w:vertAlign w:val="subscript"/>
        </w:rPr>
        <w:t xml:space="preserve"> </w:t>
      </w:r>
      <w:r>
        <w:rPr>
          <w:szCs w:val="24"/>
        </w:rPr>
        <w:t xml:space="preserve">on the root zone, similarly to the approach currently employed in many DGVMs for computing the soil drought factor </w:t>
      </w:r>
      <w:r>
        <w:rPr>
          <w:szCs w:val="24"/>
        </w:rPr>
        <w:fldChar w:fldCharType="begin" w:fldLock="1"/>
      </w:r>
      <w:r w:rsidR="00BC06F6">
        <w:rPr>
          <w:szCs w:val="24"/>
        </w:rPr>
        <w:instrText>ADDIN CSL_CITATION {"citationItems":[{"id":"ITEM-1","itemData":{"DOI":"10.5065/D6N877R0","ISBN":"NCAR Technical Note 461+STR","abstract":"The purpose of this technical note is to describe the physical parameterizations and numerical implementation of version 4.0 of the Community Land Model (CLM4.0) which is the land surface parameterization used with the Community Atmosphere Model (CAM4.0) and the Community Climate System Model (CCSM4.0). Scientific justification and evaluation of these parameterizations can be found in the referenced scientific papers (section 18). Chapters 1-16 constitute the description of CLM when coupled to CAM or CCSM, while Chapter 17 describes processes that pertain specifically to the operation of CLM in offline mode (uncoupled to an atmospheric model). Chapters 13 and 14 provide brief overviews only of the urban and carbon-nitrogen submodels. Full technical descriptions of these submodels can be found in Oleson et al. (2010) and Thornton et al. (2010, in preparation), respectively. These technical notes and the CLM4 User's Guide together provide the user with the scientific description and operating instructions for CLM.","author":[{"dropping-particle":"","family":"Oleson","given":"Keith W","non-dropping-particle":"","parse-names":false,"suffix":""},{"dropping-particle":"","family":"Dai","given":"Yongjiu","non-dropping-particle":"","parse-names":false,"suffix":""},{"dropping-particle":"","family":"Bonan","given":"Gordon B","non-dropping-particle":"","parse-names":false,"suffix":""},{"dropping-particle":"","family":"Bosilovich","given":"Mike","non-dropping-particle":"","parse-names":false,"suffix":""},{"dropping-particle":"","family":"Dickinson","given":"Robert E","non-dropping-particle":"","parse-names":false,"suffix":""},{"dropping-particle":"","family":"Dirmeyer","given":"Paul A.","non-dropping-particle":"","parse-names":false,"suffix":""},{"dropping-particle":"","family":"Hoffman","given":"Forrest","non-dropping-particle":"","parse-names":false,"suffix":""},{"dropping-particle":"","family":"Houser","given":"Paul R.","non-dropping-particle":"","parse-names":false,"suffix":""},{"dropping-particle":"","family":"Levis","given":"Samuel","non-dropping-particle":"","parse-names":false,"suffix":""},{"dropping-particle":"","family":"Niu","given":"Guo-Yue","non-dropping-particle":"","parse-names":false,"suffix":""},{"dropping-particle":"","family":"Thornton","given":"Peter","non-dropping-particle":"","parse-names":false,"suffix":""},{"dropping-particle":"","family":"Vertenstein","given":"Mariana","non-dropping-particle":"","parse-names":false,"suffix":""},{"dropping-particle":"","family":"Yang","given":"Zong-Liang","non-dropping-particle":"","parse-names":false,"suffix":""},{"dropping-particle":"","family":"Zeng","given":"Xubin","non-dropping-particle":"","parse-names":false,"suffix":""},{"dropping-particle":"","family":"Dickenson","given":"Robert","non-dropping-particle":"","parse-names":false,"suffix":""},{"dropping-particle":"","family":"Dirmeyer","given":"Paul A.","non-dropping-particle":"","parse-names":false,"suffix":""},{"dropping-particle":"","family":"Hoffman","given":"Forrest","non-dropping-particle":"","parse-names":false,"suffix":""},{"dropping-particle":"","family":"Houser","given":"Paul R.","non-dropping-particle":"","parse-names":false,"suffix":""}],"container-title":"NCAR Technical Note","id":"ITEM-1","issued":{"date-parts":[["2004"]]},"title":"Technical Description of the Community Land Model (CLM)","type":"article-journal"},"uris":["http://www.mendeley.com/documents/?uuid=9eaa35ac-c48f-438f-be50-26592146b9f1"]},{"id":"ITEM-2","itemData":{"ISSN":"1991-959X","author":[{"dropping-particle":"","family":"Best","given":"M J","non-dropping-particle":"","parse-names":false,"suffix":""},{"dropping-particle":"","family":"Pryor","given":"M","non-dropping-particle":"","parse-names":false,"suffix":""},{"dropping-particle":"","family":"Clark","given":"D B","non-dropping-particle":"","parse-names":false,"suffix":""},{"dropping-particle":"","family":"Rooney","given":"G G","non-dropping-particle":"","parse-names":false,"suffix":""},{"dropping-particle":"","family":"Essery","given":"R","non-dropping-particle":"","parse-names":false,"suffix":""},{"dropping-particle":"","family":"Ménard","given":"C B","non-dropping-particle":"","parse-names":false,"suffix":""},{"dropping-particle":"","family":"Edwards","given":"J M","non-dropping-particle":"","parse-names":false,"suffix":""},{"dropping-particle":"","family":"Hendry","given":"M A","non-dropping-particle":"","parse-names":false,"suffix":""},{"dropping-particle":"","family":"Porson","given":"A","non-dropping-particle":"","parse-names":false,"suffix":""},{"dropping-particle":"","family":"Gedney","given":"N","non-dropping-particle":"","parse-names":false,"suffix":""}],"container-title":"Geoscientific Model Development","id":"ITEM-2","issue":"3","issued":{"date-parts":[["2011"]]},"page":"677-699","publisher":"Copernicus GmbH","title":"The Joint UK Land Environment Simulator (JULES), model description–Part 1: energy and water fluxes","type":"article-journal","volume":"4"},"uris":["http://www.mendeley.com/documents/?uuid=b5055a32-edfd-4b86-8f4a-32aa1298d100"]}],"mendeley":{"formattedCitation":"[5,6]","plainTextFormattedCitation":"[5,6]","previouslyFormattedCitation":"[5,6]"},"properties":{"noteIndex":0},"schema":"https://github.com/citation-style-language/schema/raw/master/csl-citation.json"}</w:instrText>
      </w:r>
      <w:r>
        <w:rPr>
          <w:szCs w:val="24"/>
        </w:rPr>
        <w:fldChar w:fldCharType="separate"/>
      </w:r>
      <w:r w:rsidR="006015F6" w:rsidRPr="006015F6">
        <w:rPr>
          <w:noProof/>
          <w:szCs w:val="24"/>
        </w:rPr>
        <w:t>[5,6]</w:t>
      </w:r>
      <w:r>
        <w:rPr>
          <w:szCs w:val="24"/>
        </w:rPr>
        <w:fldChar w:fldCharType="end"/>
      </w:r>
      <w:r>
        <w:rPr>
          <w:szCs w:val="24"/>
        </w:rPr>
        <w:t xml:space="preserve"> </w:t>
      </w:r>
    </w:p>
    <w:p w14:paraId="3516AA93" w14:textId="768032E7" w:rsidR="00440A85" w:rsidRPr="0071509E" w:rsidRDefault="007735BC" w:rsidP="00440A85">
      <w:pPr>
        <w:spacing w:line="360" w:lineRule="auto"/>
        <w:jc w:val="both"/>
        <w:rPr>
          <w:rFonts w:eastAsiaTheme="minorEastAsia"/>
          <w:szCs w:val="24"/>
        </w:rPr>
      </w:pPr>
      <w:r>
        <w:rPr>
          <w:b/>
          <w:bCs/>
          <w:szCs w:val="24"/>
        </w:rPr>
        <w:t>Note</w:t>
      </w:r>
      <w:r w:rsidR="008E1C7E">
        <w:rPr>
          <w:b/>
          <w:bCs/>
          <w:szCs w:val="24"/>
        </w:rPr>
        <w:t>s</w:t>
      </w:r>
      <w:r>
        <w:rPr>
          <w:b/>
          <w:bCs/>
          <w:szCs w:val="24"/>
        </w:rPr>
        <w:t xml:space="preserve"> </w:t>
      </w:r>
      <w:r w:rsidR="00440A85" w:rsidRPr="0071509E">
        <w:rPr>
          <w:b/>
          <w:bCs/>
          <w:szCs w:val="24"/>
        </w:rPr>
        <w:t>S</w:t>
      </w:r>
      <w:r w:rsidR="00B5061C">
        <w:rPr>
          <w:b/>
          <w:bCs/>
          <w:szCs w:val="24"/>
        </w:rPr>
        <w:t>5</w:t>
      </w:r>
      <w:r w:rsidR="00440A85" w:rsidRPr="0071509E">
        <w:rPr>
          <w:b/>
          <w:bCs/>
          <w:szCs w:val="24"/>
        </w:rPr>
        <w:t xml:space="preserve">. </w:t>
      </w:r>
      <w:r w:rsidR="00440A85" w:rsidRPr="0071509E">
        <w:rPr>
          <w:bCs/>
          <w:i/>
          <w:szCs w:val="24"/>
        </w:rPr>
        <w:t xml:space="preserve">Calculation of </w:t>
      </w:r>
      <w:r w:rsidR="00E07064" w:rsidRPr="0071509E">
        <w:rPr>
          <w:bCs/>
          <w:i/>
          <w:szCs w:val="24"/>
        </w:rPr>
        <w:t xml:space="preserve">plant </w:t>
      </w:r>
      <w:r w:rsidR="00440A85" w:rsidRPr="0071509E">
        <w:rPr>
          <w:bCs/>
          <w:i/>
          <w:szCs w:val="24"/>
        </w:rPr>
        <w:t xml:space="preserve">maximum hydraulic conductance </w:t>
      </w:r>
    </w:p>
    <w:p w14:paraId="3516AA94" w14:textId="77777777" w:rsidR="00440A85" w:rsidRPr="0071509E" w:rsidRDefault="00440A85" w:rsidP="00440A85">
      <w:pPr>
        <w:spacing w:line="360" w:lineRule="auto"/>
        <w:ind w:firstLine="720"/>
        <w:jc w:val="both"/>
        <w:rPr>
          <w:rFonts w:eastAsiaTheme="minorEastAsia"/>
          <w:szCs w:val="24"/>
        </w:rPr>
      </w:pPr>
      <w:r w:rsidRPr="0071509E">
        <w:rPr>
          <w:rFonts w:eastAsiaTheme="minorEastAsia"/>
          <w:szCs w:val="24"/>
        </w:rPr>
        <w:t xml:space="preserve">The </w:t>
      </w:r>
      <w:proofErr w:type="spellStart"/>
      <w:r w:rsidRPr="0071509E">
        <w:rPr>
          <w:rFonts w:eastAsiaTheme="minorEastAsia"/>
          <w:i/>
          <w:iCs/>
          <w:szCs w:val="24"/>
        </w:rPr>
        <w:t>k</w:t>
      </w:r>
      <w:r w:rsidRPr="0071509E">
        <w:rPr>
          <w:rFonts w:eastAsiaTheme="minorEastAsia"/>
          <w:szCs w:val="24"/>
          <w:vertAlign w:val="subscript"/>
        </w:rPr>
        <w:t>rc,max</w:t>
      </w:r>
      <w:proofErr w:type="spellEnd"/>
      <w:r w:rsidRPr="0071509E">
        <w:rPr>
          <w:rFonts w:eastAsiaTheme="minorEastAsia"/>
          <w:szCs w:val="24"/>
        </w:rPr>
        <w:t xml:space="preserve"> is calculated on a leaf area basis from maximum petiole level hydraulic conductivity, </w:t>
      </w:r>
      <w:proofErr w:type="spellStart"/>
      <w:r w:rsidRPr="0071509E">
        <w:rPr>
          <w:rFonts w:eastAsiaTheme="minorEastAsia"/>
          <w:i/>
          <w:iCs/>
          <w:szCs w:val="24"/>
        </w:rPr>
        <w:t>K</w:t>
      </w:r>
      <w:r w:rsidRPr="0071509E">
        <w:rPr>
          <w:rFonts w:eastAsiaTheme="minorEastAsia"/>
          <w:szCs w:val="24"/>
          <w:vertAlign w:val="subscript"/>
        </w:rPr>
        <w:t>pet,max</w:t>
      </w:r>
      <w:proofErr w:type="spellEnd"/>
      <w:r w:rsidRPr="0071509E">
        <w:rPr>
          <w:rFonts w:eastAsiaTheme="minorEastAsia"/>
          <w:szCs w:val="24"/>
        </w:rPr>
        <w:t xml:space="preserve"> (</w:t>
      </w:r>
      <w:proofErr w:type="spellStart"/>
      <w:r w:rsidRPr="0071509E">
        <w:rPr>
          <w:rFonts w:eastAsiaTheme="minorEastAsia"/>
          <w:szCs w:val="24"/>
        </w:rPr>
        <w:t>mol</w:t>
      </w:r>
      <w:proofErr w:type="spellEnd"/>
      <w:r w:rsidRPr="0071509E">
        <w:rPr>
          <w:rFonts w:eastAsiaTheme="minorEastAsia"/>
          <w:szCs w:val="24"/>
        </w:rPr>
        <w:t xml:space="preserve"> m</w:t>
      </w:r>
      <w:r w:rsidRPr="0071509E">
        <w:rPr>
          <w:rFonts w:eastAsiaTheme="minorEastAsia"/>
          <w:szCs w:val="24"/>
          <w:vertAlign w:val="superscript"/>
        </w:rPr>
        <w:t>-1</w:t>
      </w:r>
      <w:r w:rsidRPr="0071509E">
        <w:rPr>
          <w:rFonts w:eastAsiaTheme="minorEastAsia"/>
          <w:szCs w:val="24"/>
        </w:rPr>
        <w:t xml:space="preserve"> s</w:t>
      </w:r>
      <w:r w:rsidRPr="0071509E">
        <w:rPr>
          <w:rFonts w:eastAsiaTheme="minorEastAsia"/>
          <w:szCs w:val="24"/>
          <w:vertAlign w:val="superscript"/>
        </w:rPr>
        <w:t>-1</w:t>
      </w:r>
      <w:r w:rsidRPr="0071509E">
        <w:rPr>
          <w:rFonts w:eastAsiaTheme="minorEastAsia"/>
          <w:szCs w:val="24"/>
        </w:rPr>
        <w:t xml:space="preserve"> MPa</w:t>
      </w:r>
      <w:r w:rsidRPr="0071509E">
        <w:rPr>
          <w:rFonts w:eastAsiaTheme="minorEastAsia"/>
          <w:szCs w:val="24"/>
          <w:vertAlign w:val="superscript"/>
        </w:rPr>
        <w:t>-1</w:t>
      </w:r>
      <w:r w:rsidRPr="0071509E">
        <w:rPr>
          <w:rFonts w:eastAsiaTheme="minorEastAsia"/>
          <w:szCs w:val="24"/>
        </w:rPr>
        <w:t xml:space="preserve">), the ratio between active xylem area and leaf area (i.e. Huber value, </w:t>
      </w:r>
      <w:proofErr w:type="spellStart"/>
      <w:r w:rsidRPr="0071509E">
        <w:rPr>
          <w:rFonts w:eastAsiaTheme="minorEastAsia"/>
          <w:i/>
          <w:iCs/>
          <w:szCs w:val="24"/>
        </w:rPr>
        <w:t>h</w:t>
      </w:r>
      <w:r w:rsidRPr="0071509E">
        <w:rPr>
          <w:rFonts w:eastAsiaTheme="minorEastAsia"/>
          <w:i/>
          <w:iCs/>
          <w:szCs w:val="24"/>
          <w:vertAlign w:val="subscript"/>
        </w:rPr>
        <w:t>v</w:t>
      </w:r>
      <w:proofErr w:type="spellEnd"/>
      <w:r w:rsidRPr="0071509E">
        <w:rPr>
          <w:rFonts w:eastAsiaTheme="minorEastAsia"/>
          <w:i/>
          <w:iCs/>
          <w:szCs w:val="24"/>
        </w:rPr>
        <w:t>;</w:t>
      </w:r>
      <w:r w:rsidRPr="0071509E">
        <w:rPr>
          <w:rFonts w:eastAsiaTheme="minorEastAsia"/>
          <w:szCs w:val="24"/>
        </w:rPr>
        <w:t xml:space="preserve"> m</w:t>
      </w:r>
      <w:r w:rsidRPr="0071509E">
        <w:rPr>
          <w:rFonts w:eastAsiaTheme="minorEastAsia"/>
          <w:szCs w:val="24"/>
          <w:vertAlign w:val="superscript"/>
        </w:rPr>
        <w:t>2</w:t>
      </w:r>
      <w:r w:rsidRPr="0071509E">
        <w:rPr>
          <w:rFonts w:eastAsiaTheme="minorEastAsia"/>
          <w:szCs w:val="24"/>
        </w:rPr>
        <w:t xml:space="preserve"> m</w:t>
      </w:r>
      <w:r w:rsidRPr="0071509E">
        <w:rPr>
          <w:rFonts w:eastAsiaTheme="minorEastAsia"/>
          <w:szCs w:val="24"/>
          <w:vertAlign w:val="superscript"/>
        </w:rPr>
        <w:t>-2</w:t>
      </w:r>
      <w:r w:rsidRPr="0071509E">
        <w:rPr>
          <w:rFonts w:eastAsiaTheme="minorEastAsia"/>
          <w:szCs w:val="24"/>
        </w:rPr>
        <w:t>), canopy height (</w:t>
      </w:r>
      <w:r w:rsidRPr="0071509E">
        <w:rPr>
          <w:rFonts w:eastAsiaTheme="minorEastAsia"/>
          <w:i/>
          <w:iCs/>
          <w:szCs w:val="24"/>
        </w:rPr>
        <w:t>h</w:t>
      </w:r>
      <w:r w:rsidRPr="0071509E">
        <w:rPr>
          <w:rFonts w:eastAsiaTheme="minorEastAsia"/>
          <w:szCs w:val="24"/>
        </w:rPr>
        <w:t>; m), and a unitless tapering factor (</w:t>
      </w:r>
      <w:proofErr w:type="spellStart"/>
      <w:r w:rsidRPr="0071509E">
        <w:rPr>
          <w:rFonts w:eastAsiaTheme="minorEastAsia"/>
          <w:szCs w:val="24"/>
        </w:rPr>
        <w:t>χ</w:t>
      </w:r>
      <w:r w:rsidRPr="0071509E">
        <w:rPr>
          <w:rFonts w:eastAsiaTheme="minorEastAsia"/>
          <w:szCs w:val="24"/>
          <w:vertAlign w:val="subscript"/>
        </w:rPr>
        <w:t>tap</w:t>
      </w:r>
      <w:proofErr w:type="spellEnd"/>
      <w:r w:rsidRPr="0071509E">
        <w:rPr>
          <w:rFonts w:eastAsiaTheme="minorEastAsia"/>
          <w:szCs w:val="24"/>
        </w:rPr>
        <w:t>) to account for changes in conduit diameter within trees:</w:t>
      </w:r>
    </w:p>
    <w:p w14:paraId="3516AA95" w14:textId="77777777" w:rsidR="00440A85" w:rsidRPr="00993651" w:rsidRDefault="00EA5F47" w:rsidP="00440A85">
      <w:pPr>
        <w:pStyle w:val="NoSpacing"/>
        <w:spacing w:line="360" w:lineRule="auto"/>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rc</m:t>
            </m:r>
            <m:r>
              <m:rPr>
                <m:sty m:val="p"/>
              </m:rPr>
              <w:rPr>
                <w:rFonts w:ascii="Cambria Math" w:hAnsi="Cambria Math" w:cs="Times New Roman"/>
                <w:sz w:val="24"/>
                <w:szCs w:val="24"/>
                <w:lang w:val="en-GB"/>
              </w:rPr>
              <m:t>,</m:t>
            </m:r>
            <m:r>
              <w:rPr>
                <w:rFonts w:ascii="Cambria Math" w:hAnsi="Cambria Math" w:cs="Times New Roman"/>
                <w:sz w:val="24"/>
                <w:szCs w:val="24"/>
                <w:lang w:val="en-GB"/>
              </w:rPr>
              <m:t>max</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pet,max</m:t>
                </m:r>
              </m:sub>
            </m:sSub>
            <m:sSub>
              <m:sSubPr>
                <m:ctrlPr>
                  <w:rPr>
                    <w:rFonts w:ascii="Cambria Math" w:hAnsi="Cambria Math" w:cs="Times New Roman"/>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lang w:val="en-GB"/>
                  </w:rPr>
                  <m:t>v</m:t>
                </m:r>
              </m:sub>
            </m:sSub>
          </m:num>
          <m:den>
            <m:r>
              <w:rPr>
                <w:rFonts w:ascii="Cambria Math" w:hAnsi="Cambria Math" w:cs="Times New Roman"/>
                <w:sz w:val="24"/>
                <w:szCs w:val="24"/>
                <w:lang w:val="en-GB"/>
              </w:rPr>
              <m:t>h</m:t>
            </m:r>
          </m:den>
        </m:f>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χ</m:t>
            </m:r>
          </m:e>
          <m:sub>
            <m:r>
              <w:rPr>
                <w:rFonts w:ascii="Cambria Math" w:hAnsi="Cambria Math" w:cs="Times New Roman"/>
                <w:sz w:val="24"/>
                <w:szCs w:val="24"/>
                <w:lang w:val="en-GB"/>
              </w:rPr>
              <m:t>tap</m:t>
            </m:r>
          </m:sub>
        </m:sSub>
      </m:oMath>
      <w:r w:rsidR="00440A85" w:rsidRPr="00993651">
        <w:rPr>
          <w:rFonts w:ascii="Times New Roman" w:eastAsiaTheme="minorEastAsia" w:hAnsi="Times New Roman" w:cs="Times New Roman"/>
          <w:sz w:val="24"/>
          <w:szCs w:val="24"/>
          <w:lang w:val="en-GB"/>
        </w:rPr>
        <w:t xml:space="preserve"> </w:t>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r w:rsidR="00440A85" w:rsidRPr="00993651">
        <w:rPr>
          <w:rFonts w:ascii="Times New Roman" w:eastAsiaTheme="minorEastAsia" w:hAnsi="Times New Roman" w:cs="Times New Roman"/>
          <w:sz w:val="24"/>
          <w:szCs w:val="24"/>
          <w:lang w:val="en-GB"/>
        </w:rPr>
        <w:tab/>
      </w:r>
    </w:p>
    <w:p w14:paraId="3516AA96" w14:textId="7C8B5C35" w:rsidR="00440A85" w:rsidRPr="00993651" w:rsidRDefault="00440A85" w:rsidP="00440A85">
      <w:pPr>
        <w:pStyle w:val="NoSpacing"/>
        <w:spacing w:line="360" w:lineRule="auto"/>
        <w:jc w:val="both"/>
        <w:rPr>
          <w:rFonts w:ascii="Times New Roman" w:hAnsi="Times New Roman" w:cs="Times New Roman"/>
          <w:sz w:val="24"/>
          <w:szCs w:val="24"/>
          <w:lang w:val="en-GB"/>
        </w:rPr>
      </w:pPr>
      <w:r w:rsidRPr="00993651">
        <w:rPr>
          <w:rFonts w:ascii="Times New Roman" w:hAnsi="Times New Roman" w:cs="Times New Roman"/>
          <w:sz w:val="24"/>
          <w:szCs w:val="24"/>
          <w:lang w:val="en-GB"/>
        </w:rPr>
        <w:tab/>
        <w:t xml:space="preserve">The </w:t>
      </w:r>
      <w:proofErr w:type="spellStart"/>
      <w:r w:rsidRPr="00993651">
        <w:rPr>
          <w:rFonts w:ascii="Times New Roman" w:hAnsi="Times New Roman" w:cs="Times New Roman"/>
          <w:i/>
          <w:sz w:val="24"/>
          <w:szCs w:val="24"/>
          <w:lang w:val="en-GB"/>
        </w:rPr>
        <w:t>K</w:t>
      </w:r>
      <w:r w:rsidRPr="00993651">
        <w:rPr>
          <w:rFonts w:ascii="Times New Roman" w:hAnsi="Times New Roman" w:cs="Times New Roman"/>
          <w:i/>
          <w:sz w:val="24"/>
          <w:szCs w:val="24"/>
          <w:vertAlign w:val="subscript"/>
          <w:lang w:val="en-GB"/>
        </w:rPr>
        <w:t>pet,max</w:t>
      </w:r>
      <w:proofErr w:type="spellEnd"/>
      <w:r w:rsidRPr="00993651">
        <w:rPr>
          <w:rFonts w:ascii="Times New Roman" w:hAnsi="Times New Roman" w:cs="Times New Roman"/>
          <w:sz w:val="24"/>
          <w:szCs w:val="24"/>
          <w:lang w:val="en-GB"/>
        </w:rPr>
        <w:t xml:space="preserve"> is calculated from maximum branch xylem conductivity (</w:t>
      </w:r>
      <w:proofErr w:type="spellStart"/>
      <w:r w:rsidRPr="00993651">
        <w:rPr>
          <w:rFonts w:ascii="Times New Roman" w:hAnsi="Times New Roman" w:cs="Times New Roman"/>
          <w:i/>
          <w:iCs/>
          <w:sz w:val="24"/>
          <w:szCs w:val="24"/>
          <w:lang w:val="en-GB"/>
        </w:rPr>
        <w:t>K</w:t>
      </w:r>
      <w:r w:rsidRPr="00993651">
        <w:rPr>
          <w:rFonts w:ascii="Times New Roman" w:hAnsi="Times New Roman" w:cs="Times New Roman"/>
          <w:i/>
          <w:sz w:val="24"/>
          <w:szCs w:val="24"/>
          <w:vertAlign w:val="subscript"/>
          <w:lang w:val="en-GB"/>
        </w:rPr>
        <w:t>x,max</w:t>
      </w:r>
      <w:proofErr w:type="spellEnd"/>
      <w:r w:rsidRPr="00FC3E0A">
        <w:rPr>
          <w:rFonts w:ascii="Times New Roman" w:hAnsi="Times New Roman" w:cs="Times New Roman"/>
          <w:sz w:val="24"/>
          <w:szCs w:val="24"/>
          <w:lang w:val="en-GB"/>
        </w:rPr>
        <w:t xml:space="preserve">; </w:t>
      </w:r>
      <w:proofErr w:type="spellStart"/>
      <w:r w:rsidRPr="00FC3E0A">
        <w:rPr>
          <w:rFonts w:ascii="Times New Roman" w:hAnsi="Times New Roman" w:cs="Times New Roman"/>
          <w:sz w:val="24"/>
          <w:szCs w:val="24"/>
          <w:lang w:val="en-GB"/>
        </w:rPr>
        <w:t>mol</w:t>
      </w:r>
      <w:proofErr w:type="spellEnd"/>
      <w:r w:rsidRPr="00FC3E0A">
        <w:rPr>
          <w:rFonts w:ascii="Times New Roman" w:hAnsi="Times New Roman" w:cs="Times New Roman"/>
          <w:sz w:val="24"/>
          <w:szCs w:val="24"/>
          <w:lang w:val="en-GB"/>
        </w:rPr>
        <w:t xml:space="preserve"> m</w:t>
      </w:r>
      <w:r w:rsidRPr="00FC3E0A">
        <w:rPr>
          <w:rFonts w:ascii="Times New Roman" w:hAnsi="Times New Roman" w:cs="Times New Roman"/>
          <w:sz w:val="24"/>
          <w:szCs w:val="24"/>
          <w:vertAlign w:val="superscript"/>
          <w:lang w:val="en-GB"/>
        </w:rPr>
        <w:t>-1</w:t>
      </w:r>
      <w:r w:rsidRPr="00FC3E0A">
        <w:rPr>
          <w:rFonts w:ascii="Times New Roman" w:hAnsi="Times New Roman" w:cs="Times New Roman"/>
          <w:sz w:val="24"/>
          <w:szCs w:val="24"/>
          <w:lang w:val="en-GB"/>
        </w:rPr>
        <w:t xml:space="preserve"> s</w:t>
      </w:r>
      <w:r w:rsidRPr="00FC3E0A">
        <w:rPr>
          <w:rFonts w:ascii="Times New Roman" w:hAnsi="Times New Roman" w:cs="Times New Roman"/>
          <w:sz w:val="24"/>
          <w:szCs w:val="24"/>
          <w:vertAlign w:val="superscript"/>
          <w:lang w:val="en-GB"/>
        </w:rPr>
        <w:t>-1</w:t>
      </w:r>
      <w:r w:rsidRPr="00FC3E0A">
        <w:rPr>
          <w:rFonts w:ascii="Times New Roman" w:hAnsi="Times New Roman" w:cs="Times New Roman"/>
          <w:sz w:val="24"/>
          <w:szCs w:val="24"/>
          <w:lang w:val="en-GB"/>
        </w:rPr>
        <w:t xml:space="preserve"> MPa</w:t>
      </w:r>
      <w:r w:rsidRPr="00FC3E0A">
        <w:rPr>
          <w:rFonts w:ascii="Times New Roman" w:hAnsi="Times New Roman" w:cs="Times New Roman"/>
          <w:sz w:val="24"/>
          <w:szCs w:val="24"/>
          <w:vertAlign w:val="superscript"/>
          <w:lang w:val="en-GB"/>
        </w:rPr>
        <w:t>-1</w:t>
      </w:r>
      <w:r w:rsidRPr="00FC3E0A">
        <w:rPr>
          <w:rFonts w:ascii="Times New Roman" w:hAnsi="Times New Roman" w:cs="Times New Roman"/>
          <w:sz w:val="24"/>
          <w:szCs w:val="24"/>
          <w:lang w:val="en-GB"/>
        </w:rPr>
        <w:t xml:space="preserve">) following Christoffersen et al </w:t>
      </w:r>
      <w:r w:rsidRPr="00993651">
        <w:rPr>
          <w:rFonts w:ascii="Times New Roman" w:hAnsi="Times New Roman" w:cs="Times New Roman"/>
          <w:sz w:val="24"/>
          <w:szCs w:val="24"/>
          <w:lang w:val="en-GB"/>
        </w:rPr>
        <w:fldChar w:fldCharType="begin" w:fldLock="1"/>
      </w:r>
      <w:r w:rsidR="00BC06F6">
        <w:rPr>
          <w:rFonts w:ascii="Times New Roman" w:hAnsi="Times New Roman" w:cs="Times New Roman"/>
          <w:sz w:val="24"/>
          <w:szCs w:val="24"/>
          <w:lang w:val="en-GB"/>
        </w:rPr>
        <w:instrText>ADDIN CSL_CITATION {"citationItems":[{"id":"ITEM-1","itemData":{"DOI":"10.5194/gmd-9-4227-2016","ISBN":"1991-962X","ISSN":"19919603","abstract":"&lt;p&gt;Forest ecosystem models based on heuristic water stress functions poorly predict tropical forest response to drought because they do not capture the diversity of hydraulic traits (including variation in tree size) observed in tropical forests. We developed a Richards’ equation-based model of plant hydraulics in which all parameters of its constitutive equations are biologically-interpretable and measureable plant hydraulic traits (e.g., turgor loss point π&lt;sub&gt;&lt;i&gt;tlp&lt;/i&gt;&lt;/sub&gt;, bulk elastic modulus ε, hydraulic capacitance &lt;i&gt;C&lt;sub&gt;ft&lt;/sub&gt;&lt;/i&gt;, xylem hydraulic conductivity &lt;i&gt;k&lt;sub&gt;s,max&lt;/sub&gt;&lt;/i&gt;, water potential at 50 % loss of conductivity for both xylem (&lt;i&gt;P&lt;/i&gt;&lt;sub&gt;50,&lt;i&gt;x&lt;/i&gt;&lt;/sub&gt;) and stomata (&lt;i&gt;P&lt;/i&gt;&lt;sub&gt;50,&lt;i&gt;gs&lt;/i&gt;&lt;/sub&gt;), and the leaf:sapwood area ratio &lt;i&gt;A&lt;sub&gt;l&lt;/sub&gt;&lt;/i&gt;:&lt;i&gt;A&lt;sub&gt;s&lt;/sub&gt;&lt;/i&gt;). We embedded this plant hydraulics model within a forest simulator (TFS) that modeled individual tree light environments and their upper boundary condition (transpiration) as well as provided a means for parameterizing individual variation in hydraulic traits. We synthesized literature and existing databases to parameterize all hydraulic traits as a function of stem and leaf traits wood density (&lt;i&gt;WD&lt;/i&gt;), leaf mass per area (&lt;i&gt;LMA&lt;/i&gt;) and photosynthetic capacity (&lt;i&gt;A&lt;/i&gt;&lt;sub&gt;max&lt;/sub&gt;) and evaluated the coupled model’s (TFS-Hydro) predictions against diurnal and seasonal variability in stem and leaf water potential as well as stand-scaled sap flux. &lt;br&gt;&lt;br&gt; Our hydraulic trait synthesis revealed coordination among leaf and xylem hydraulic traits and statistically significant relationships of most hydraulic traits with more easily measured plant traits. Using the most informative empirical trait-trait relationships derived from this synthesis, the TFS-Hydro model parameterization is capable of representing patterns of coordination and trade-offs in hydraulic traits. TFS-Hydro successfully captured individual variation in leaf and stem water potential due to increasing tree size and light environment, with model representation of hydraulic architecture and plant traits exerting primary and secondary controls, respectively, on the fidelity of model predictions. The plant hydraulics model made substantial improvements to simulations of total ecosystem transpiration under control conditions, but the absence of a vertically stratified soil hydrology model precluded improvements to the simulation of drought response. Remaining uncertainties and l…","author":[{"dropping-particle":"","family":"Christoffersen","given":"Bradley O.","non-dropping-particle":"","parse-names":false,"suffix":""},{"dropping-particle":"","family":"Gloor","given":"Manuel","non-dropping-particle":"","parse-names":false,"suffix":""},{"dropping-particle":"","family":"Fauset","given":"Sophie","non-dropping-particle":"","parse-names":false,"suffix":""},{"dropping-particle":"","family":"Fyllas","given":"Nikolaos M.","non-dropping-particle":"","parse-names":false,"suffix":""},{"dropping-particle":"","family":"Galbraith","given":"David R.","non-dropping-particle":"","parse-names":false,"suffix":""},{"dropping-particle":"","family":"Baker","given":"Timothy R.","non-dropping-particle":"","parse-names":false,"suffix":""},{"dropping-particle":"","family":"Kruijt","given":"Bart","non-dropping-particle":"","parse-names":false,"suffix":""},{"dropping-particle":"","family":"Rowland","given":"Lucy","non-dropping-particle":"","parse-names":false,"suffix":""},{"dropping-particle":"","family":"Fisher","given":"Rosie A.","non-dropping-particle":"","parse-names":false,"suffix":""},{"dropping-particle":"","family":"Binks","given":"Oliver J.","non-dropping-particle":"","parse-names":false,"suffix":""},{"dropping-particle":"","family":"Sevanto","given":"Sanna","non-dropping-particle":"","parse-names":false,"suffix":""},{"dropping-particle":"","family":"Xu","given":"Chonggang","non-dropping-particle":"","parse-names":false,"suffix":""},{"dropping-particle":"","family":"Jansen","given":"Steven","non-dropping-particle":"","parse-names":false,"suffix":""},{"dropping-particle":"","family":"Choat","given":"Brendan","non-dropping-particle":"","parse-names":false,"suffix":""},{"dropping-particle":"","family":"Mencuccini","given":"Maurizio","non-dropping-particle":"","parse-names":false,"suffix":""},{"dropping-particle":"","family":"McDowell","given":"Nate G.","non-dropping-particle":"","parse-names":false,"suffix":""},{"dropping-particle":"","family":"Meir","given":"Patrick","non-dropping-particle":"","parse-names":false,"suffix":""}],"container-title":"Geoscientific Model Development","id":"ITEM-1","issue":"11","issued":{"date-parts":[["2016"]]},"page":"4227-4255","title":"Linking hydraulic traits to tropical forest function in a size-structured and trait-driven model (TFS v.1-Hydro)","type":"article-journal","volume":"9"},"uris":["http://www.mendeley.com/documents/?uuid=21be82fb-be7c-4771-bd27-2f001e575a0b"]}],"mendeley":{"formattedCitation":"[7]","plainTextFormattedCitation":"[7]","previouslyFormattedCitation":"[7]"},"properties":{"noteIndex":0},"schema":"https://github.com/citation-style-language/schema/raw/master/csl-citation.json"}</w:instrText>
      </w:r>
      <w:r w:rsidRPr="00993651">
        <w:rPr>
          <w:rFonts w:ascii="Times New Roman" w:hAnsi="Times New Roman" w:cs="Times New Roman"/>
          <w:sz w:val="24"/>
          <w:szCs w:val="24"/>
          <w:lang w:val="en-GB"/>
        </w:rPr>
        <w:fldChar w:fldCharType="separate"/>
      </w:r>
      <w:r w:rsidR="006015F6" w:rsidRPr="006015F6">
        <w:rPr>
          <w:rFonts w:ascii="Times New Roman" w:hAnsi="Times New Roman" w:cs="Times New Roman"/>
          <w:noProof/>
          <w:sz w:val="24"/>
          <w:szCs w:val="24"/>
          <w:lang w:val="en-GB"/>
        </w:rPr>
        <w:t>[7]</w:t>
      </w:r>
      <w:r w:rsidRPr="00993651">
        <w:rPr>
          <w:rFonts w:ascii="Times New Roman" w:hAnsi="Times New Roman" w:cs="Times New Roman"/>
          <w:sz w:val="24"/>
          <w:szCs w:val="24"/>
          <w:lang w:val="en-GB"/>
        </w:rPr>
        <w:fldChar w:fldCharType="end"/>
      </w:r>
      <w:r w:rsidRPr="00993651">
        <w:rPr>
          <w:rFonts w:ascii="Times New Roman" w:hAnsi="Times New Roman" w:cs="Times New Roman"/>
          <w:sz w:val="24"/>
          <w:szCs w:val="24"/>
          <w:lang w:val="en-GB"/>
        </w:rPr>
        <w:t>:</w:t>
      </w:r>
    </w:p>
    <w:p w14:paraId="3516AA97" w14:textId="77777777" w:rsidR="00440A85" w:rsidRPr="00993651" w:rsidRDefault="00EA5F47" w:rsidP="00440A85">
      <w:pPr>
        <w:spacing w:line="360" w:lineRule="auto"/>
        <w:jc w:val="both"/>
        <w:rPr>
          <w:rFonts w:eastAsiaTheme="minorEastAsia"/>
          <w:szCs w:val="24"/>
        </w:rPr>
      </w:pPr>
      <m:oMath>
        <m:sSub>
          <m:sSubPr>
            <m:ctrlPr>
              <w:rPr>
                <w:rFonts w:ascii="Cambria Math" w:hAnsi="Cambria Math"/>
                <w:szCs w:val="24"/>
              </w:rPr>
            </m:ctrlPr>
          </m:sSubPr>
          <m:e>
            <m:r>
              <w:rPr>
                <w:rFonts w:ascii="Cambria Math" w:hAnsi="Cambria Math"/>
                <w:szCs w:val="24"/>
              </w:rPr>
              <m:t>K</m:t>
            </m:r>
          </m:e>
          <m:sub>
            <m:r>
              <w:rPr>
                <w:rFonts w:ascii="Cambria Math" w:hAnsi="Cambria Math"/>
                <w:szCs w:val="24"/>
              </w:rPr>
              <m:t>pet,max</m:t>
            </m:r>
          </m:sub>
        </m:sSub>
        <m:r>
          <m:rPr>
            <m:sty m:val="p"/>
          </m:rPr>
          <w:rPr>
            <w:rFonts w:ascii="Cambria Math" w:hAnsi="Cambria Math"/>
            <w:szCs w:val="24"/>
          </w:rPr>
          <m:t>=</m:t>
        </m:r>
        <m:sSub>
          <m:sSubPr>
            <m:ctrlPr>
              <w:rPr>
                <w:rFonts w:ascii="Cambria Math" w:eastAsiaTheme="minorEastAsia" w:hAnsi="Cambria Math"/>
                <w:i/>
                <w:szCs w:val="24"/>
              </w:rPr>
            </m:ctrlPr>
          </m:sSubPr>
          <m:e>
            <m:r>
              <w:rPr>
                <w:rFonts w:ascii="Cambria Math" w:hAnsi="Cambria Math"/>
                <w:szCs w:val="24"/>
              </w:rPr>
              <m:t>K</m:t>
            </m:r>
          </m:e>
          <m:sub>
            <m:r>
              <w:rPr>
                <w:rFonts w:ascii="Cambria Math" w:hAnsi="Cambria Math"/>
                <w:szCs w:val="24"/>
              </w:rPr>
              <m:t>x,max</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hAnsi="Cambria Math"/>
                            <w:szCs w:val="24"/>
                          </w:rPr>
                          <m:t>r</m:t>
                        </m:r>
                      </m:e>
                      <m:sub>
                        <m:r>
                          <w:rPr>
                            <w:rFonts w:ascii="Cambria Math" w:hAnsi="Cambria Math"/>
                            <w:szCs w:val="24"/>
                          </w:rPr>
                          <m:t>int,pet</m:t>
                        </m:r>
                      </m:sub>
                    </m:sSub>
                  </m:num>
                  <m:den>
                    <m:sSub>
                      <m:sSubPr>
                        <m:ctrlPr>
                          <w:rPr>
                            <w:rFonts w:ascii="Cambria Math" w:eastAsiaTheme="minorEastAsia" w:hAnsi="Cambria Math"/>
                            <w:i/>
                            <w:szCs w:val="24"/>
                          </w:rPr>
                        </m:ctrlPr>
                      </m:sSubPr>
                      <m:e>
                        <m:r>
                          <w:rPr>
                            <w:rFonts w:ascii="Cambria Math" w:hAnsi="Cambria Math"/>
                            <w:szCs w:val="24"/>
                          </w:rPr>
                          <m:t>r</m:t>
                        </m:r>
                      </m:e>
                      <m:sub>
                        <m:r>
                          <w:rPr>
                            <w:rFonts w:ascii="Cambria Math" w:hAnsi="Cambria Math"/>
                            <w:szCs w:val="24"/>
                          </w:rPr>
                          <m:t>int,ref</m:t>
                        </m:r>
                      </m:sub>
                    </m:sSub>
                  </m:den>
                </m:f>
              </m:e>
            </m:d>
          </m:e>
          <m:sup>
            <m:r>
              <w:rPr>
                <w:rFonts w:ascii="Cambria Math" w:hAnsi="Cambria Math"/>
                <w:szCs w:val="24"/>
              </w:rPr>
              <m:t>2</m:t>
            </m:r>
          </m:sup>
        </m:sSup>
      </m:oMath>
      <w:r w:rsidR="00440A85" w:rsidRPr="00993651">
        <w:rPr>
          <w:rFonts w:eastAsiaTheme="minorEastAsia"/>
          <w:szCs w:val="24"/>
        </w:rPr>
        <w:t xml:space="preserve"> </w:t>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r w:rsidR="00440A85" w:rsidRPr="00993651">
        <w:rPr>
          <w:rFonts w:eastAsiaTheme="minorEastAsia"/>
          <w:szCs w:val="24"/>
        </w:rPr>
        <w:tab/>
      </w:r>
    </w:p>
    <w:p w14:paraId="3516AA98" w14:textId="49975423" w:rsidR="00440A85" w:rsidRPr="00FC3E0A" w:rsidRDefault="00440A85" w:rsidP="00440A85">
      <w:pPr>
        <w:pStyle w:val="NoSpacing"/>
        <w:spacing w:line="360" w:lineRule="auto"/>
        <w:jc w:val="both"/>
        <w:rPr>
          <w:rFonts w:ascii="Times New Roman" w:hAnsi="Times New Roman" w:cs="Times New Roman"/>
          <w:sz w:val="24"/>
          <w:szCs w:val="24"/>
          <w:lang w:val="en-GB"/>
        </w:rPr>
      </w:pPr>
      <w:r w:rsidRPr="00993651">
        <w:rPr>
          <w:rFonts w:ascii="Times New Roman" w:eastAsiaTheme="minorEastAsia" w:hAnsi="Times New Roman" w:cs="Times New Roman"/>
          <w:sz w:val="24"/>
          <w:szCs w:val="24"/>
          <w:lang w:val="en-GB"/>
        </w:rPr>
        <w:t xml:space="preserve">where </w:t>
      </w:r>
      <w:proofErr w:type="spellStart"/>
      <w:r w:rsidRPr="00993651">
        <w:rPr>
          <w:rFonts w:ascii="Times New Roman" w:eastAsiaTheme="minorEastAsia" w:hAnsi="Times New Roman" w:cs="Times New Roman"/>
          <w:i/>
          <w:sz w:val="24"/>
          <w:szCs w:val="24"/>
          <w:lang w:val="en-GB"/>
        </w:rPr>
        <w:t>r</w:t>
      </w:r>
      <w:r w:rsidRPr="00993651">
        <w:rPr>
          <w:rFonts w:ascii="Times New Roman" w:eastAsiaTheme="minorEastAsia" w:hAnsi="Times New Roman" w:cs="Times New Roman"/>
          <w:i/>
          <w:sz w:val="24"/>
          <w:szCs w:val="24"/>
          <w:vertAlign w:val="subscript"/>
          <w:lang w:val="en-GB"/>
        </w:rPr>
        <w:t>int,pet</w:t>
      </w:r>
      <w:proofErr w:type="spellEnd"/>
      <w:r w:rsidRPr="00993651">
        <w:rPr>
          <w:rFonts w:ascii="Times New Roman" w:eastAsiaTheme="minorEastAsia" w:hAnsi="Times New Roman" w:cs="Times New Roman"/>
          <w:i/>
          <w:sz w:val="24"/>
          <w:szCs w:val="24"/>
          <w:vertAlign w:val="subscript"/>
          <w:lang w:val="en-GB"/>
        </w:rPr>
        <w:t xml:space="preserve"> </w:t>
      </w:r>
      <w:r w:rsidRPr="00993651">
        <w:rPr>
          <w:rFonts w:ascii="Times New Roman" w:eastAsiaTheme="minorEastAsia" w:hAnsi="Times New Roman" w:cs="Times New Roman"/>
          <w:sz w:val="24"/>
          <w:szCs w:val="24"/>
          <w:lang w:val="en-GB"/>
        </w:rPr>
        <w:t xml:space="preserve">is the petiole conduit radius set to 10 µm and the </w:t>
      </w:r>
      <w:proofErr w:type="spellStart"/>
      <w:r w:rsidRPr="00993651">
        <w:rPr>
          <w:rFonts w:ascii="Times New Roman" w:eastAsiaTheme="minorEastAsia" w:hAnsi="Times New Roman" w:cs="Times New Roman"/>
          <w:i/>
          <w:sz w:val="24"/>
          <w:szCs w:val="24"/>
          <w:lang w:val="en-GB"/>
        </w:rPr>
        <w:t>r</w:t>
      </w:r>
      <w:r w:rsidRPr="00993651">
        <w:rPr>
          <w:rFonts w:ascii="Times New Roman" w:eastAsiaTheme="minorEastAsia" w:hAnsi="Times New Roman" w:cs="Times New Roman"/>
          <w:i/>
          <w:sz w:val="24"/>
          <w:szCs w:val="24"/>
          <w:vertAlign w:val="subscript"/>
          <w:lang w:val="en-GB"/>
        </w:rPr>
        <w:t>int,ref</w:t>
      </w:r>
      <w:proofErr w:type="spellEnd"/>
      <w:r w:rsidRPr="00993651">
        <w:rPr>
          <w:rFonts w:ascii="Times New Roman" w:eastAsiaTheme="minorEastAsia" w:hAnsi="Times New Roman" w:cs="Times New Roman"/>
          <w:sz w:val="24"/>
          <w:szCs w:val="24"/>
          <w:lang w:val="en-GB"/>
        </w:rPr>
        <w:t xml:space="preserve"> is the radius of conduits of the terminal branches set to 22 µm </w:t>
      </w:r>
      <w:r w:rsidRPr="00993651">
        <w:rPr>
          <w:rFonts w:ascii="Times New Roman" w:eastAsiaTheme="minorEastAsia" w:hAnsi="Times New Roman" w:cs="Times New Roman"/>
          <w:sz w:val="24"/>
          <w:szCs w:val="24"/>
          <w:lang w:val="en-GB"/>
        </w:rPr>
        <w:fldChar w:fldCharType="begin" w:fldLock="1"/>
      </w:r>
      <w:r w:rsidR="00BC06F6">
        <w:rPr>
          <w:rFonts w:ascii="Times New Roman" w:eastAsiaTheme="minorEastAsia" w:hAnsi="Times New Roman" w:cs="Times New Roman"/>
          <w:sz w:val="24"/>
          <w:szCs w:val="24"/>
          <w:lang w:val="en-GB"/>
        </w:rPr>
        <w:instrText>ADDIN CSL_CITATION {"citationItems":[{"id":"ITEM-1","itemData":{"DOI":"10.1016/0304-3800(93)E0082-E","ISBN":"0304-3800","ISSN":"03043800","abstract":"A detailed model of leaf-scale photosynthesis, respiration, transpiration, stomatal conductance, and energy balance is described. The model, PGEN v2.011 The code is available from the author upon request., is designed for use in larger-scale ecosystem, climate and hydrological models concerned with fluxes of CO2, water, and heat. Given a set of environmental and biological (mostly leaf) parameters, PGEN calculates instantaneous rates of net photosynthesis and transpiration, and associated conductances to CO2and water. The model is intended to predict species-specific behaviour with minimal need for empirical parameterisation. The biochemical model of photosynthesis is derived from the models of Farquhar and co-workers. This biochemical model is embedded in a model of the leaf's energy balance, which is based on the work of Monteith and Jones. Stomatal conductance is calculated using an optimisation concept. In this concept there is an assumed tradeoff between CO2entering and water leaving the leaf, resulting in a single stomatal conductance for each set of environmental conditions, that maximises a function including the costs and benefits. Predicted responses of stomatal conductance, net photosynthesis, transpiration rate, and the ratio of CO2concentration in the leaf to that outside the leaf boundary layer, to key environmental factors, closely match observed responses. A sensitivity analysis of PGEN v2.0 shows that predicted net photosynthesis is most sensitive to the degree of co-limitation between carboxylation- and ribulose-1,5-bisphosphate regeneration-limited photosynthesis, the Rubisco carboxylation kinetic parameters, the atmospheric concentration of CO2, and leaf nitrogen content. Predicted stomatal conductance is most sensitive to relative humidity, the critical leaf water potential for plant dry matter production, the hydraulic resistance between the root and the leaf, and the atmospheric concentration of CO2. © 1995.","author":[{"dropping-particle":"","family":"Friend","given":"A. D.","non-dropping-particle":"","parse-names":false,"suffix":""}],"container-title":"Ecological Modelling","id":"ITEM-1","issue":"2-3","issued":{"date-parts":[["1995"]]},"page":"233-255","title":"PGEN: an integrated model of leaf photosynthesis, transpiration, and conductance","type":"article-journal","volume":"77"},"uris":["http://www.mendeley.com/documents/?uuid=f2cf97e4-6e52-4e22-8403-a778a275bc53"]}],"mendeley":{"formattedCitation":"[8]","plainTextFormattedCitation":"[8]","previouslyFormattedCitation":"[8]"},"properties":{"noteIndex":0},"schema":"https://github.com/citation-style-language/schema/raw/master/csl-citation.json"}</w:instrText>
      </w:r>
      <w:r w:rsidRPr="00993651">
        <w:rPr>
          <w:rFonts w:ascii="Times New Roman" w:eastAsiaTheme="minorEastAsia" w:hAnsi="Times New Roman" w:cs="Times New Roman"/>
          <w:sz w:val="24"/>
          <w:szCs w:val="24"/>
          <w:lang w:val="en-GB"/>
        </w:rPr>
        <w:fldChar w:fldCharType="separate"/>
      </w:r>
      <w:r w:rsidR="006015F6" w:rsidRPr="006015F6">
        <w:rPr>
          <w:rFonts w:ascii="Times New Roman" w:eastAsiaTheme="minorEastAsia" w:hAnsi="Times New Roman" w:cs="Times New Roman"/>
          <w:noProof/>
          <w:sz w:val="24"/>
          <w:szCs w:val="24"/>
          <w:lang w:val="en-GB"/>
        </w:rPr>
        <w:t>[8]</w:t>
      </w:r>
      <w:r w:rsidRPr="00993651">
        <w:rPr>
          <w:rFonts w:ascii="Times New Roman" w:eastAsiaTheme="minorEastAsia" w:hAnsi="Times New Roman" w:cs="Times New Roman"/>
          <w:sz w:val="24"/>
          <w:szCs w:val="24"/>
          <w:lang w:val="en-GB"/>
        </w:rPr>
        <w:fldChar w:fldCharType="end"/>
      </w:r>
      <w:r w:rsidRPr="00993651">
        <w:rPr>
          <w:rFonts w:ascii="Times New Roman" w:hAnsi="Times New Roman" w:cs="Times New Roman"/>
          <w:sz w:val="24"/>
          <w:szCs w:val="24"/>
          <w:lang w:val="en-GB"/>
        </w:rPr>
        <w:t xml:space="preserve">, to account for conduit tapering from branch to petiole. </w:t>
      </w:r>
      <w:r w:rsidRPr="00993651">
        <w:rPr>
          <w:rFonts w:ascii="Times New Roman" w:hAnsi="Times New Roman" w:cs="Times New Roman"/>
          <w:bCs/>
          <w:sz w:val="24"/>
          <w:szCs w:val="24"/>
          <w:lang w:val="en-GB"/>
        </w:rPr>
        <w:t>We define the hydraulic tapering factor (</w:t>
      </w:r>
      <w:proofErr w:type="spellStart"/>
      <w:r w:rsidRPr="00993651">
        <w:rPr>
          <w:rFonts w:ascii="Times New Roman" w:hAnsi="Times New Roman" w:cs="Times New Roman"/>
          <w:bCs/>
          <w:sz w:val="24"/>
          <w:szCs w:val="24"/>
          <w:lang w:val="en-GB"/>
        </w:rPr>
        <w:t>χ</w:t>
      </w:r>
      <w:r w:rsidRPr="00FC3E0A">
        <w:rPr>
          <w:rFonts w:ascii="Times New Roman" w:hAnsi="Times New Roman" w:cs="Times New Roman"/>
          <w:bCs/>
          <w:sz w:val="24"/>
          <w:szCs w:val="24"/>
          <w:vertAlign w:val="subscript"/>
          <w:lang w:val="en-GB"/>
        </w:rPr>
        <w:t>tap</w:t>
      </w:r>
      <w:proofErr w:type="spellEnd"/>
      <w:r w:rsidRPr="00FC3E0A">
        <w:rPr>
          <w:rFonts w:ascii="Times New Roman" w:hAnsi="Times New Roman" w:cs="Times New Roman"/>
          <w:bCs/>
          <w:sz w:val="24"/>
          <w:szCs w:val="24"/>
          <w:lang w:val="en-GB"/>
        </w:rPr>
        <w:t xml:space="preserve">) as </w:t>
      </w:r>
    </w:p>
    <w:p w14:paraId="3516AA99" w14:textId="77777777" w:rsidR="00440A85" w:rsidRPr="00993651" w:rsidRDefault="00EA5F47" w:rsidP="00440A85">
      <w:pPr>
        <w:spacing w:line="360" w:lineRule="auto"/>
        <w:jc w:val="both"/>
        <w:rPr>
          <w:bCs/>
          <w:szCs w:val="24"/>
        </w:rPr>
      </w:pPr>
      <m:oMathPara>
        <m:oMathParaPr>
          <m:jc m:val="left"/>
        </m:oMathParaPr>
        <m:oMath>
          <m:sSub>
            <m:sSubPr>
              <m:ctrlPr>
                <w:rPr>
                  <w:rFonts w:ascii="Cambria Math" w:hAnsi="Cambria Math"/>
                  <w:i/>
                  <w:iCs/>
                  <w:szCs w:val="24"/>
                </w:rPr>
              </m:ctrlPr>
            </m:sSubPr>
            <m:e>
              <m:r>
                <w:rPr>
                  <w:rFonts w:ascii="Cambria Math" w:hAnsi="Cambria Math"/>
                  <w:szCs w:val="24"/>
                </w:rPr>
                <m:t>χ</m:t>
              </m:r>
            </m:e>
            <m:sub>
              <m:r>
                <w:rPr>
                  <w:rFonts w:ascii="Cambria Math" w:hAnsi="Cambria Math"/>
                  <w:szCs w:val="24"/>
                </w:rPr>
                <m:t>tap</m:t>
              </m:r>
            </m:sub>
          </m:sSub>
          <m:r>
            <w:rPr>
              <w:rFonts w:ascii="Cambria Math" w:hAnsi="Cambria Math"/>
              <w:szCs w:val="24"/>
            </w:rPr>
            <m:t>=</m:t>
          </m:r>
          <m:f>
            <m:fPr>
              <m:ctrlPr>
                <w:rPr>
                  <w:rFonts w:ascii="Cambria Math" w:hAnsi="Cambria Math"/>
                  <w:i/>
                  <w:iCs/>
                  <w:szCs w:val="24"/>
                </w:rPr>
              </m:ctrlPr>
            </m:fPr>
            <m:num>
              <m:sSub>
                <m:sSubPr>
                  <m:ctrlPr>
                    <w:rPr>
                      <w:rFonts w:ascii="Cambria Math" w:hAnsi="Cambria Math"/>
                      <w:i/>
                      <w:iCs/>
                      <w:szCs w:val="24"/>
                    </w:rPr>
                  </m:ctrlPr>
                </m:sSubPr>
                <m:e>
                  <m:r>
                    <w:rPr>
                      <w:rFonts w:ascii="Cambria Math" w:hAnsi="Cambria Math"/>
                      <w:szCs w:val="24"/>
                    </w:rPr>
                    <m:t>χ</m:t>
                  </m:r>
                </m:e>
                <m:sub>
                  <m:r>
                    <w:rPr>
                      <w:rFonts w:ascii="Cambria Math" w:hAnsi="Cambria Math"/>
                      <w:szCs w:val="24"/>
                    </w:rPr>
                    <m:t>tap:notap</m:t>
                  </m:r>
                </m:sub>
              </m:sSub>
              <m:r>
                <w:rPr>
                  <w:rFonts w:ascii="Cambria Math" w:hAnsi="Cambria Math"/>
                  <w:szCs w:val="24"/>
                </w:rPr>
                <m:t>(h)</m:t>
              </m:r>
            </m:num>
            <m:den>
              <m:sSub>
                <m:sSubPr>
                  <m:ctrlPr>
                    <w:rPr>
                      <w:rFonts w:ascii="Cambria Math" w:hAnsi="Cambria Math"/>
                      <w:i/>
                      <w:iCs/>
                      <w:szCs w:val="24"/>
                    </w:rPr>
                  </m:ctrlPr>
                </m:sSubPr>
                <m:e>
                  <m:r>
                    <w:rPr>
                      <w:rFonts w:ascii="Cambria Math" w:hAnsi="Cambria Math"/>
                      <w:szCs w:val="24"/>
                    </w:rPr>
                    <m:t>χ</m:t>
                  </m:r>
                </m:e>
                <m:sub>
                  <m:r>
                    <w:rPr>
                      <w:rFonts w:ascii="Cambria Math" w:hAnsi="Cambria Math"/>
                      <w:szCs w:val="24"/>
                    </w:rPr>
                    <m:t>tap:notap</m:t>
                  </m:r>
                </m:sub>
              </m:sSub>
              <m:r>
                <w:rPr>
                  <w:rFonts w:ascii="Cambria Math" w:hAnsi="Cambria Math"/>
                  <w:szCs w:val="24"/>
                </w:rPr>
                <m:t>(1)</m:t>
              </m:r>
            </m:den>
          </m:f>
        </m:oMath>
      </m:oMathPara>
    </w:p>
    <w:p w14:paraId="3516AA9A" w14:textId="2AF1841A" w:rsidR="00440A85" w:rsidRPr="00993651" w:rsidRDefault="00440A85" w:rsidP="00440A85">
      <w:pPr>
        <w:spacing w:line="360" w:lineRule="auto"/>
        <w:jc w:val="both"/>
        <w:rPr>
          <w:bCs/>
          <w:szCs w:val="24"/>
        </w:rPr>
      </w:pPr>
      <w:proofErr w:type="gramStart"/>
      <w:r w:rsidRPr="00993651">
        <w:rPr>
          <w:bCs/>
          <w:szCs w:val="24"/>
        </w:rPr>
        <w:t>where</w:t>
      </w:r>
      <w:proofErr w:type="gramEnd"/>
      <w:r w:rsidRPr="00993651">
        <w:rPr>
          <w:bCs/>
          <w:szCs w:val="24"/>
        </w:rPr>
        <w:t xml:space="preserve"> </w:t>
      </w:r>
      <w:proofErr w:type="spellStart"/>
      <w:r w:rsidRPr="00993651">
        <w:rPr>
          <w:bCs/>
          <w:szCs w:val="24"/>
        </w:rPr>
        <w:t>χ</w:t>
      </w:r>
      <w:r w:rsidRPr="00993651">
        <w:rPr>
          <w:bCs/>
          <w:szCs w:val="24"/>
          <w:vertAlign w:val="subscript"/>
        </w:rPr>
        <w:t>tap:notap</w:t>
      </w:r>
      <w:proofErr w:type="spellEnd"/>
      <w:r w:rsidRPr="00993651">
        <w:rPr>
          <w:bCs/>
          <w:szCs w:val="24"/>
        </w:rPr>
        <w:t>(</w:t>
      </w:r>
      <w:r w:rsidRPr="00993651">
        <w:rPr>
          <w:bCs/>
          <w:i/>
          <w:szCs w:val="24"/>
        </w:rPr>
        <w:t>h</w:t>
      </w:r>
      <w:r w:rsidRPr="00993651">
        <w:rPr>
          <w:bCs/>
          <w:szCs w:val="24"/>
        </w:rPr>
        <w:t xml:space="preserve">) and </w:t>
      </w:r>
      <w:proofErr w:type="spellStart"/>
      <w:r w:rsidRPr="00993651">
        <w:rPr>
          <w:bCs/>
          <w:szCs w:val="24"/>
        </w:rPr>
        <w:t>χ</w:t>
      </w:r>
      <w:r w:rsidRPr="00993651">
        <w:rPr>
          <w:bCs/>
          <w:szCs w:val="24"/>
          <w:vertAlign w:val="subscript"/>
        </w:rPr>
        <w:t>tap:notap</w:t>
      </w:r>
      <w:proofErr w:type="spellEnd"/>
      <w:r w:rsidRPr="00993651">
        <w:rPr>
          <w:bCs/>
          <w:szCs w:val="24"/>
        </w:rPr>
        <w:t xml:space="preserve">(1) are factors that represents the ratio of the theoretical whole tree conductance </w:t>
      </w:r>
      <w:r w:rsidRPr="00FC3E0A">
        <w:rPr>
          <w:bCs/>
          <w:szCs w:val="24"/>
        </w:rPr>
        <w:t>with taper (</w:t>
      </w:r>
      <w:proofErr w:type="spellStart"/>
      <w:r w:rsidRPr="00FC3E0A">
        <w:rPr>
          <w:bCs/>
          <w:i/>
          <w:szCs w:val="24"/>
        </w:rPr>
        <w:t>K</w:t>
      </w:r>
      <w:r w:rsidRPr="00FC3E0A">
        <w:rPr>
          <w:bCs/>
          <w:i/>
          <w:szCs w:val="24"/>
          <w:vertAlign w:val="subscript"/>
        </w:rPr>
        <w:t>max,tap</w:t>
      </w:r>
      <w:proofErr w:type="spellEnd"/>
      <w:r w:rsidRPr="00FC3E0A">
        <w:rPr>
          <w:bCs/>
          <w:szCs w:val="24"/>
        </w:rPr>
        <w:t>) to that without taper (</w:t>
      </w:r>
      <w:proofErr w:type="spellStart"/>
      <w:r w:rsidRPr="00FC3E0A">
        <w:rPr>
          <w:bCs/>
          <w:i/>
          <w:szCs w:val="24"/>
        </w:rPr>
        <w:t>K</w:t>
      </w:r>
      <w:r w:rsidRPr="00FC3E0A">
        <w:rPr>
          <w:bCs/>
          <w:i/>
          <w:szCs w:val="24"/>
          <w:vertAlign w:val="subscript"/>
        </w:rPr>
        <w:t>max,notap</w:t>
      </w:r>
      <w:proofErr w:type="spellEnd"/>
      <w:r w:rsidRPr="00FC3E0A">
        <w:rPr>
          <w:bCs/>
          <w:szCs w:val="24"/>
        </w:rPr>
        <w:t xml:space="preserve">) at height </w:t>
      </w:r>
      <w:r w:rsidRPr="00FC3E0A">
        <w:rPr>
          <w:bCs/>
          <w:i/>
          <w:szCs w:val="24"/>
        </w:rPr>
        <w:t>h</w:t>
      </w:r>
      <w:r w:rsidRPr="00FC3E0A">
        <w:rPr>
          <w:bCs/>
          <w:szCs w:val="24"/>
        </w:rPr>
        <w:t xml:space="preserve"> and 1 m, respectively.  These factors are calculated following the Savage et al </w:t>
      </w:r>
      <w:r w:rsidRPr="00993651">
        <w:rPr>
          <w:bCs/>
          <w:szCs w:val="24"/>
        </w:rPr>
        <w:fldChar w:fldCharType="begin" w:fldLock="1"/>
      </w:r>
      <w:r w:rsidR="00BC06F6">
        <w:rPr>
          <w:bCs/>
          <w:szCs w:val="24"/>
        </w:rPr>
        <w:instrText>ADDIN CSL_CITATION {"citationItems":[{"id":"ITEM-1","itemData":{"DOI":"10.1073/pnas.1012194108/-/DCSupplemental.www.pnas.org/cgi/doi/10.1073/pnas.1012194108","ISBN":"1012194108","author":[{"dropping-particle":"","family":"Savage","given":"V M","non-dropping-particle":"","parse-names":false,"suffix":""},{"dropping-particle":"","family":"Bentley","given":"L P","non-dropping-particle":"","parse-names":false,"suffix":""},{"dropping-particle":"","family":"Enquist","given":"B J","non-dropping-particle":"","parse-names":false,"suffix":""},{"dropping-particle":"","family":"Sperry","given":"J S","non-dropping-particle":"","parse-names":false,"suffix":""},{"dropping-particle":"","family":"Smith","given":"D D","non-dropping-particle":"","parse-names":false,"suffix":""},{"dropping-particle":"","family":"Reich","given":"P B","non-dropping-particle":"","parse-names":false,"suffix":""},{"dropping-particle":"Von","family":"Allmen","given":"E I","non-dropping-particle":"","parse-names":false,"suffix":""}],"id":"ITEM-1","issued":{"date-parts":[["2010"]]},"title":"Hydraulic trade-offs and space filling enable better predictions of vascular structure and function in plants","type":"article-journal"},"uris":["http://www.mendeley.com/documents/?uuid=14ebf27a-7390-4560-bd4d-b8f74316db08"]}],"mendeley":{"formattedCitation":"[9]","plainTextFormattedCitation":"[9]","previouslyFormattedCitation":"[9]"},"properties":{"noteIndex":0},"schema":"https://github.com/citation-style-language/schema/raw/master/csl-citation.json"}</w:instrText>
      </w:r>
      <w:r w:rsidRPr="00993651">
        <w:rPr>
          <w:bCs/>
          <w:szCs w:val="24"/>
        </w:rPr>
        <w:fldChar w:fldCharType="separate"/>
      </w:r>
      <w:r w:rsidR="006015F6" w:rsidRPr="006015F6">
        <w:rPr>
          <w:bCs/>
          <w:noProof/>
          <w:szCs w:val="24"/>
        </w:rPr>
        <w:t>[9]</w:t>
      </w:r>
      <w:r w:rsidRPr="00993651">
        <w:rPr>
          <w:bCs/>
          <w:szCs w:val="24"/>
        </w:rPr>
        <w:fldChar w:fldCharType="end"/>
      </w:r>
      <w:r w:rsidRPr="00993651">
        <w:rPr>
          <w:bCs/>
          <w:szCs w:val="24"/>
        </w:rPr>
        <w:t xml:space="preserve"> model as described by Christoffersen </w:t>
      </w:r>
      <w:r w:rsidRPr="00070CD4">
        <w:rPr>
          <w:bCs/>
          <w:i/>
          <w:szCs w:val="24"/>
        </w:rPr>
        <w:t>et al</w:t>
      </w:r>
      <w:r w:rsidR="00070CD4" w:rsidRPr="00070CD4">
        <w:rPr>
          <w:bCs/>
          <w:i/>
          <w:szCs w:val="24"/>
        </w:rPr>
        <w:t>.</w:t>
      </w:r>
      <w:r w:rsidRPr="00993651">
        <w:rPr>
          <w:bCs/>
          <w:szCs w:val="24"/>
        </w:rPr>
        <w:t xml:space="preserve"> </w:t>
      </w:r>
      <w:r w:rsidRPr="00993651">
        <w:rPr>
          <w:rFonts w:eastAsiaTheme="minorEastAsia"/>
          <w:szCs w:val="24"/>
        </w:rPr>
        <w:fldChar w:fldCharType="begin" w:fldLock="1"/>
      </w:r>
      <w:r w:rsidR="00BC06F6">
        <w:rPr>
          <w:rFonts w:eastAsiaTheme="minorEastAsia"/>
          <w:szCs w:val="24"/>
        </w:rPr>
        <w:instrText>ADDIN CSL_CITATION {"citationItems":[{"id":"ITEM-1","itemData":{"DOI":"10.1016/0304-3800(93)E0082-E","ISBN":"0304-3800","ISSN":"03043800","abstract":"A detailed model of leaf-scale photosynthesis, respiration, transpiration, stomatal conductance, and energy balance is described. The model, PGEN v2.011 The code is available from the author upon request., is designed for use in larger-scale ecosystem, climate and hydrological models concerned with fluxes of CO2, water, and heat. Given a set of environmental and biological (mostly leaf) parameters, PGEN calculates instantaneous rates of net photosynthesis and transpiration, and associated conductances to CO2and water. The model is intended to predict species-specific behaviour with minimal need for empirical parameterisation. The biochemical model of photosynthesis is derived from the models of Farquhar and co-workers. This biochemical model is embedded in a model of the leaf's energy balance, which is based on the work of Monteith and Jones. Stomatal conductance is calculated using an optimisation concept. In this concept there is an assumed tradeoff between CO2entering and water leaving the leaf, resulting in a single stomatal conductance for each set of environmental conditions, that maximises a function including the costs and benefits. Predicted responses of stomatal conductance, net photosynthesis, transpiration rate, and the ratio of CO2concentration in the leaf to that outside the leaf boundary layer, to key environmental factors, closely match observed responses. A sensitivity analysis of PGEN v2.0 shows that predicted net photosynthesis is most sensitive to the degree of co-limitation between carboxylation- and ribulose-1,5-bisphosphate regeneration-limited photosynthesis, the Rubisco carboxylation kinetic parameters, the atmospheric concentration of CO2, and leaf nitrogen content. Predicted stomatal conductance is most sensitive to relative humidity, the critical leaf water potential for plant dry matter production, the hydraulic resistance between the root and the leaf, and the atmospheric concentration of CO2. © 1995.","author":[{"dropping-particle":"","family":"Friend","given":"A. D.","non-dropping-particle":"","parse-names":false,"suffix":""}],"container-title":"Ecological Modelling","id":"ITEM-1","issue":"2-3","issued":{"date-parts":[["1995"]]},"page":"233-255","title":"PGEN: an integrated model of leaf photosynthesis, transpiration, and conductance","type":"article-journal","volume":"77"},"uris":["http://www.mendeley.com/documents/?uuid=f2cf97e4-6e52-4e22-8403-a778a275bc53"]}],"mendeley":{"formattedCitation":"[8]","plainTextFormattedCitation":"[8]","previouslyFormattedCitation":"[8]"},"properties":{"noteIndex":0},"schema":"https://github.com/citation-style-language/schema/raw/master/csl-citation.json"}</w:instrText>
      </w:r>
      <w:r w:rsidRPr="00993651">
        <w:rPr>
          <w:rFonts w:eastAsiaTheme="minorEastAsia"/>
          <w:szCs w:val="24"/>
        </w:rPr>
        <w:fldChar w:fldCharType="separate"/>
      </w:r>
      <w:r w:rsidR="006015F6" w:rsidRPr="006015F6">
        <w:rPr>
          <w:rFonts w:eastAsiaTheme="minorEastAsia"/>
          <w:noProof/>
          <w:szCs w:val="24"/>
        </w:rPr>
        <w:t>[8]</w:t>
      </w:r>
      <w:r w:rsidRPr="00993651">
        <w:rPr>
          <w:rFonts w:eastAsiaTheme="minorEastAsia"/>
          <w:szCs w:val="24"/>
        </w:rPr>
        <w:fldChar w:fldCharType="end"/>
      </w:r>
      <w:r w:rsidR="00BD1D5C">
        <w:rPr>
          <w:rFonts w:eastAsiaTheme="minorEastAsia"/>
          <w:szCs w:val="24"/>
        </w:rPr>
        <w:t>.</w:t>
      </w:r>
    </w:p>
    <w:p w14:paraId="3516AA9B" w14:textId="77777777" w:rsidR="00440A85" w:rsidRPr="00993651" w:rsidRDefault="00EA5F47" w:rsidP="00440A85">
      <w:pPr>
        <w:spacing w:line="360" w:lineRule="auto"/>
        <w:jc w:val="both"/>
        <w:rPr>
          <w:rFonts w:eastAsiaTheme="minorEastAsia"/>
          <w:iCs/>
          <w:szCs w:val="24"/>
        </w:rPr>
      </w:pPr>
      <m:oMathPara>
        <m:oMathParaPr>
          <m:jc m:val="left"/>
        </m:oMathParaPr>
        <m:oMath>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max</m:t>
              </m:r>
            </m:sub>
          </m:sSub>
          <m:r>
            <w:rPr>
              <w:rFonts w:ascii="Cambria Math" w:hAnsi="Cambria Math"/>
              <w:szCs w:val="24"/>
            </w:rPr>
            <m:t>=a</m:t>
          </m:r>
          <m:sSup>
            <m:sSupPr>
              <m:ctrlPr>
                <w:rPr>
                  <w:rFonts w:ascii="Cambria Math" w:hAnsi="Cambria Math"/>
                  <w:i/>
                  <w:iCs/>
                  <w:szCs w:val="24"/>
                </w:rPr>
              </m:ctrlPr>
            </m:sSupPr>
            <m:e>
              <m:d>
                <m:dPr>
                  <m:ctrlPr>
                    <w:rPr>
                      <w:rFonts w:ascii="Cambria Math" w:hAnsi="Cambria Math"/>
                      <w:i/>
                      <w:iCs/>
                      <w:szCs w:val="24"/>
                    </w:rPr>
                  </m:ctrlPr>
                </m:dPr>
                <m:e>
                  <m:sSubSup>
                    <m:sSubSupPr>
                      <m:ctrlPr>
                        <w:rPr>
                          <w:rFonts w:ascii="Cambria Math" w:hAnsi="Cambria Math"/>
                          <w:i/>
                          <w:iCs/>
                          <w:szCs w:val="24"/>
                        </w:rPr>
                      </m:ctrlPr>
                    </m:sSubSupPr>
                    <m:e>
                      <m:r>
                        <w:rPr>
                          <w:rFonts w:ascii="Cambria Math" w:hAnsi="Cambria Math"/>
                          <w:szCs w:val="24"/>
                        </w:rPr>
                        <m:t>n</m:t>
                      </m:r>
                    </m:e>
                    <m:sub>
                      <m:r>
                        <w:rPr>
                          <w:rFonts w:ascii="Cambria Math" w:hAnsi="Cambria Math"/>
                          <w:szCs w:val="24"/>
                        </w:rPr>
                        <m:t>ext</m:t>
                      </m:r>
                    </m:sub>
                    <m:sup>
                      <m:f>
                        <m:fPr>
                          <m:type m:val="lin"/>
                          <m:ctrlPr>
                            <w:rPr>
                              <w:rFonts w:ascii="Cambria Math" w:hAnsi="Cambria Math"/>
                              <w:i/>
                              <w:iCs/>
                              <w:szCs w:val="24"/>
                            </w:rPr>
                          </m:ctrlPr>
                        </m:fPr>
                        <m:num>
                          <m:r>
                            <w:rPr>
                              <w:rFonts w:ascii="Cambria Math" w:hAnsi="Cambria Math"/>
                              <w:szCs w:val="24"/>
                            </w:rPr>
                            <m:t>N</m:t>
                          </m:r>
                        </m:num>
                        <m:den>
                          <m:r>
                            <w:rPr>
                              <w:rFonts w:ascii="Cambria Math" w:hAnsi="Cambria Math"/>
                              <w:szCs w:val="24"/>
                            </w:rPr>
                            <m:t>2</m:t>
                          </m:r>
                        </m:den>
                      </m:f>
                    </m:sup>
                  </m:sSubSup>
                </m:e>
              </m:d>
            </m:e>
            <m:sup>
              <m:r>
                <w:rPr>
                  <w:rFonts w:ascii="Cambria Math" w:hAnsi="Cambria Math"/>
                  <w:szCs w:val="24"/>
                </w:rPr>
                <m:t>b</m:t>
              </m:r>
            </m:sup>
          </m:sSup>
        </m:oMath>
      </m:oMathPara>
    </w:p>
    <w:p w14:paraId="3516AA9C" w14:textId="42AABBC0" w:rsidR="00440A85" w:rsidRPr="00FC3E0A" w:rsidRDefault="00440A85" w:rsidP="00440A85">
      <w:pPr>
        <w:spacing w:line="360" w:lineRule="auto"/>
        <w:jc w:val="both"/>
        <w:rPr>
          <w:bCs/>
          <w:szCs w:val="24"/>
        </w:rPr>
      </w:pPr>
      <w:r w:rsidRPr="00993651">
        <w:rPr>
          <w:rFonts w:eastAsiaTheme="minorEastAsia"/>
          <w:iCs/>
          <w:szCs w:val="24"/>
        </w:rPr>
        <w:lastRenderedPageBreak/>
        <w:t xml:space="preserve">where </w:t>
      </w:r>
      <w:r w:rsidRPr="00993651">
        <w:rPr>
          <w:rFonts w:eastAsiaTheme="minorEastAsia"/>
          <w:i/>
          <w:iCs/>
          <w:szCs w:val="24"/>
        </w:rPr>
        <w:t>a</w:t>
      </w:r>
      <w:r w:rsidRPr="00993651">
        <w:rPr>
          <w:rFonts w:eastAsiaTheme="minorEastAsia"/>
          <w:iCs/>
          <w:szCs w:val="24"/>
        </w:rPr>
        <w:t xml:space="preserve"> and </w:t>
      </w:r>
      <w:r w:rsidRPr="00993651">
        <w:rPr>
          <w:rFonts w:eastAsiaTheme="minorEastAsia"/>
          <w:i/>
          <w:iCs/>
          <w:szCs w:val="24"/>
        </w:rPr>
        <w:t>b</w:t>
      </w:r>
      <w:r w:rsidRPr="00993651">
        <w:rPr>
          <w:rFonts w:eastAsiaTheme="minorEastAsia"/>
          <w:iCs/>
          <w:szCs w:val="24"/>
        </w:rPr>
        <w:t xml:space="preserve"> are constants set to 7.2 x10</w:t>
      </w:r>
      <w:r w:rsidRPr="00993651">
        <w:rPr>
          <w:rFonts w:eastAsiaTheme="minorEastAsia"/>
          <w:iCs/>
          <w:szCs w:val="24"/>
          <w:vertAlign w:val="superscript"/>
        </w:rPr>
        <w:t>-13</w:t>
      </w:r>
      <w:r w:rsidRPr="00993651">
        <w:rPr>
          <w:rFonts w:eastAsiaTheme="minorEastAsia"/>
          <w:iCs/>
          <w:szCs w:val="24"/>
        </w:rPr>
        <w:t xml:space="preserve"> and 1.32, to calculate </w:t>
      </w:r>
      <w:proofErr w:type="spellStart"/>
      <w:r w:rsidRPr="00FC3E0A">
        <w:rPr>
          <w:bCs/>
          <w:i/>
          <w:szCs w:val="24"/>
        </w:rPr>
        <w:t>K</w:t>
      </w:r>
      <w:r w:rsidRPr="00FC3E0A">
        <w:rPr>
          <w:bCs/>
          <w:i/>
          <w:szCs w:val="24"/>
          <w:vertAlign w:val="subscript"/>
        </w:rPr>
        <w:t>max,notap</w:t>
      </w:r>
      <w:proofErr w:type="spellEnd"/>
      <w:r w:rsidRPr="00FC3E0A">
        <w:rPr>
          <w:bCs/>
          <w:i/>
          <w:szCs w:val="24"/>
          <w:vertAlign w:val="subscript"/>
        </w:rPr>
        <w:t xml:space="preserve"> </w:t>
      </w:r>
      <w:r w:rsidRPr="00FC3E0A">
        <w:rPr>
          <w:bCs/>
          <w:szCs w:val="24"/>
        </w:rPr>
        <w:t>and 6.6</w:t>
      </w:r>
      <w:r w:rsidRPr="00FC3E0A">
        <w:rPr>
          <w:rFonts w:eastAsiaTheme="minorEastAsia"/>
          <w:iCs/>
          <w:szCs w:val="24"/>
        </w:rPr>
        <w:t xml:space="preserve"> x10</w:t>
      </w:r>
      <w:r w:rsidRPr="00FC3E0A">
        <w:rPr>
          <w:rFonts w:eastAsiaTheme="minorEastAsia"/>
          <w:iCs/>
          <w:szCs w:val="24"/>
          <w:vertAlign w:val="superscript"/>
        </w:rPr>
        <w:t>-13</w:t>
      </w:r>
      <w:r w:rsidRPr="00FC3E0A">
        <w:rPr>
          <w:rFonts w:eastAsiaTheme="minorEastAsia"/>
          <w:iCs/>
          <w:szCs w:val="24"/>
        </w:rPr>
        <w:t xml:space="preserve"> and 1.85 for </w:t>
      </w:r>
      <w:proofErr w:type="spellStart"/>
      <w:r w:rsidRPr="00FC3E0A">
        <w:rPr>
          <w:bCs/>
          <w:i/>
          <w:szCs w:val="24"/>
        </w:rPr>
        <w:t>K</w:t>
      </w:r>
      <w:r w:rsidRPr="00FC3E0A">
        <w:rPr>
          <w:bCs/>
          <w:i/>
          <w:szCs w:val="24"/>
          <w:vertAlign w:val="subscript"/>
        </w:rPr>
        <w:t>max,tap</w:t>
      </w:r>
      <w:proofErr w:type="spellEnd"/>
      <w:r w:rsidRPr="00FC3E0A">
        <w:rPr>
          <w:bCs/>
          <w:szCs w:val="24"/>
        </w:rPr>
        <w:t xml:space="preserve"> </w:t>
      </w:r>
      <w:r w:rsidRPr="00993651">
        <w:rPr>
          <w:bCs/>
          <w:szCs w:val="24"/>
        </w:rPr>
        <w:fldChar w:fldCharType="begin" w:fldLock="1"/>
      </w:r>
      <w:r w:rsidR="00BC06F6">
        <w:rPr>
          <w:bCs/>
          <w:szCs w:val="24"/>
        </w:rPr>
        <w:instrText>ADDIN CSL_CITATION {"citationItems":[{"id":"ITEM-1","itemData":{"DOI":"10.5194/gmd-9-4227-2016","ISBN":"1991-962X","ISSN":"19919603","abstract":"&lt;p&gt;Forest ecosystem models based on heuristic water stress functions poorly predict tropical forest response to drought because they do not capture the diversity of hydraulic traits (including variation in tree size) observed in tropical forests. We developed a Richards’ equation-based model of plant hydraulics in which all parameters of its constitutive equations are biologically-interpretable and measureable plant hydraulic traits (e.g., turgor loss point π&lt;sub&gt;&lt;i&gt;tlp&lt;/i&gt;&lt;/sub&gt;, bulk elastic modulus ε, hydraulic capacitance &lt;i&gt;C&lt;sub&gt;ft&lt;/sub&gt;&lt;/i&gt;, xylem hydraulic conductivity &lt;i&gt;k&lt;sub&gt;s,max&lt;/sub&gt;&lt;/i&gt;, water potential at 50 % loss of conductivity for both xylem (&lt;i&gt;P&lt;/i&gt;&lt;sub&gt;50,&lt;i&gt;x&lt;/i&gt;&lt;/sub&gt;) and stomata (&lt;i&gt;P&lt;/i&gt;&lt;sub&gt;50,&lt;i&gt;gs&lt;/i&gt;&lt;/sub&gt;), and the leaf:sapwood area ratio &lt;i&gt;A&lt;sub&gt;l&lt;/sub&gt;&lt;/i&gt;:&lt;i&gt;A&lt;sub&gt;s&lt;/sub&gt;&lt;/i&gt;). We embedded this plant hydraulics model within a forest simulator (TFS) that modeled individual tree light environments and their upper boundary condition (transpiration) as well as provided a means for parameterizing individual variation in hydraulic traits. We synthesized literature and existing databases to parameterize all hydraulic traits as a function of stem and leaf traits wood density (&lt;i&gt;WD&lt;/i&gt;), leaf mass per area (&lt;i&gt;LMA&lt;/i&gt;) and photosynthetic capacity (&lt;i&gt;A&lt;/i&gt;&lt;sub&gt;max&lt;/sub&gt;) and evaluated the coupled model’s (TFS-Hydro) predictions against diurnal and seasonal variability in stem and leaf water potential as well as stand-scaled sap flux. &lt;br&gt;&lt;br&gt; Our hydraulic trait synthesis revealed coordination among leaf and xylem hydraulic traits and statistically significant relationships of most hydraulic traits with more easily measured plant traits. Using the most informative empirical trait-trait relationships derived from this synthesis, the TFS-Hydro model parameterization is capable of representing patterns of coordination and trade-offs in hydraulic traits. TFS-Hydro successfully captured individual variation in leaf and stem water potential due to increasing tree size and light environment, with model representation of hydraulic architecture and plant traits exerting primary and secondary controls, respectively, on the fidelity of model predictions. The plant hydraulics model made substantial improvements to simulations of total ecosystem transpiration under control conditions, but the absence of a vertically stratified soil hydrology model precluded improvements to the simulation of drought response. Remaining uncertainties and l…","author":[{"dropping-particle":"","family":"Christoffersen","given":"Bradley O.","non-dropping-particle":"","parse-names":false,"suffix":""},{"dropping-particle":"","family":"Gloor","given":"Manuel","non-dropping-particle":"","parse-names":false,"suffix":""},{"dropping-particle":"","family":"Fauset","given":"Sophie","non-dropping-particle":"","parse-names":false,"suffix":""},{"dropping-particle":"","family":"Fyllas","given":"Nikolaos M.","non-dropping-particle":"","parse-names":false,"suffix":""},{"dropping-particle":"","family":"Galbraith","given":"David R.","non-dropping-particle":"","parse-names":false,"suffix":""},{"dropping-particle":"","family":"Baker","given":"Timothy R.","non-dropping-particle":"","parse-names":false,"suffix":""},{"dropping-particle":"","family":"Kruijt","given":"Bart","non-dropping-particle":"","parse-names":false,"suffix":""},{"dropping-particle":"","family":"Rowland","given":"Lucy","non-dropping-particle":"","parse-names":false,"suffix":""},{"dropping-particle":"","family":"Fisher","given":"Rosie A.","non-dropping-particle":"","parse-names":false,"suffix":""},{"dropping-particle":"","family":"Binks","given":"Oliver J.","non-dropping-particle":"","parse-names":false,"suffix":""},{"dropping-particle":"","family":"Sevanto","given":"Sanna","non-dropping-particle":"","parse-names":false,"suffix":""},{"dropping-particle":"","family":"Xu","given":"Chonggang","non-dropping-particle":"","parse-names":false,"suffix":""},{"dropping-particle":"","family":"Jansen","given":"Steven","non-dropping-particle":"","parse-names":false,"suffix":""},{"dropping-particle":"","family":"Choat","given":"Brendan","non-dropping-particle":"","parse-names":false,"suffix":""},{"dropping-particle":"","family":"Mencuccini","given":"Maurizio","non-dropping-particle":"","parse-names":false,"suffix":""},{"dropping-particle":"","family":"McDowell","given":"Nate G.","non-dropping-particle":"","parse-names":false,"suffix":""},{"dropping-particle":"","family":"Meir","given":"Patrick","non-dropping-particle":"","parse-names":false,"suffix":""}],"container-title":"Geoscientific Model Development","id":"ITEM-1","issue":"11","issued":{"date-parts":[["2016"]]},"page":"4227-4255","title":"Linking hydraulic traits to tropical forest function in a size-structured and trait-driven model (TFS v.1-Hydro)","type":"article-journal","volume":"9"},"uris":["http://www.mendeley.com/documents/?uuid=21be82fb-be7c-4771-bd27-2f001e575a0b"]}],"mendeley":{"formattedCitation":"[7]","plainTextFormattedCitation":"[7]","previouslyFormattedCitation":"[7]"},"properties":{"noteIndex":0},"schema":"https://github.com/citation-style-language/schema/raw/master/csl-citation.json"}</w:instrText>
      </w:r>
      <w:r w:rsidRPr="00993651">
        <w:rPr>
          <w:bCs/>
          <w:szCs w:val="24"/>
        </w:rPr>
        <w:fldChar w:fldCharType="separate"/>
      </w:r>
      <w:r w:rsidR="006015F6" w:rsidRPr="006015F6">
        <w:rPr>
          <w:bCs/>
          <w:noProof/>
          <w:szCs w:val="24"/>
        </w:rPr>
        <w:t>[7]</w:t>
      </w:r>
      <w:r w:rsidRPr="00993651">
        <w:rPr>
          <w:bCs/>
          <w:szCs w:val="24"/>
        </w:rPr>
        <w:fldChar w:fldCharType="end"/>
      </w:r>
      <w:r w:rsidRPr="00993651">
        <w:rPr>
          <w:bCs/>
          <w:szCs w:val="24"/>
        </w:rPr>
        <w:t xml:space="preserve">. The </w:t>
      </w:r>
      <w:r w:rsidRPr="00993651">
        <w:rPr>
          <w:bCs/>
          <w:i/>
          <w:szCs w:val="24"/>
        </w:rPr>
        <w:t>n</w:t>
      </w:r>
      <w:r w:rsidRPr="00993651">
        <w:rPr>
          <w:bCs/>
          <w:i/>
          <w:szCs w:val="24"/>
          <w:vertAlign w:val="subscript"/>
        </w:rPr>
        <w:t>ext</w:t>
      </w:r>
      <w:r w:rsidRPr="00993651">
        <w:rPr>
          <w:bCs/>
          <w:szCs w:val="24"/>
        </w:rPr>
        <w:t xml:space="preserve"> represents the branching patterns in the Savage </w:t>
      </w:r>
      <w:r w:rsidRPr="00070CD4">
        <w:rPr>
          <w:bCs/>
          <w:i/>
          <w:szCs w:val="24"/>
        </w:rPr>
        <w:t>et al</w:t>
      </w:r>
      <w:r w:rsidR="00070CD4" w:rsidRPr="00070CD4">
        <w:rPr>
          <w:bCs/>
          <w:i/>
          <w:szCs w:val="24"/>
        </w:rPr>
        <w:t>.</w:t>
      </w:r>
      <w:r w:rsidRPr="00993651">
        <w:rPr>
          <w:bCs/>
          <w:szCs w:val="24"/>
        </w:rPr>
        <w:t xml:space="preserve"> </w:t>
      </w:r>
      <w:r w:rsidRPr="00993651">
        <w:rPr>
          <w:bCs/>
          <w:szCs w:val="24"/>
        </w:rPr>
        <w:fldChar w:fldCharType="begin" w:fldLock="1"/>
      </w:r>
      <w:r w:rsidR="00BC06F6">
        <w:rPr>
          <w:bCs/>
          <w:szCs w:val="24"/>
        </w:rPr>
        <w:instrText>ADDIN CSL_CITATION {"citationItems":[{"id":"ITEM-1","itemData":{"DOI":"10.1073/pnas.1012194108/-/DCSupplemental.www.pnas.org/cgi/doi/10.1073/pnas.1012194108","ISBN":"1012194108","author":[{"dropping-particle":"","family":"Savage","given":"V M","non-dropping-particle":"","parse-names":false,"suffix":""},{"dropping-particle":"","family":"Bentley","given":"L P","non-dropping-particle":"","parse-names":false,"suffix":""},{"dropping-particle":"","family":"Enquist","given":"B J","non-dropping-particle":"","parse-names":false,"suffix":""},{"dropping-particle":"","family":"Sperry","given":"J S","non-dropping-particle":"","parse-names":false,"suffix":""},{"dropping-particle":"","family":"Smith","given":"D D","non-dropping-particle":"","parse-names":false,"suffix":""},{"dropping-particle":"","family":"Reich","given":"P B","non-dropping-particle":"","parse-names":false,"suffix":""},{"dropping-particle":"Von","family":"Allmen","given":"E I","non-dropping-particle":"","parse-names":false,"suffix":""}],"id":"ITEM-1","issued":{"date-parts":[["2010"]]},"title":"Hydraulic trade-offs and space filling enable better predictions of vascular structure and function in plants","type":"article-journal"},"uris":["http://www.mendeley.com/documents/?uuid=14ebf27a-7390-4560-bd4d-b8f74316db08"]}],"mendeley":{"formattedCitation":"[9]","plainTextFormattedCitation":"[9]","previouslyFormattedCitation":"[9]"},"properties":{"noteIndex":0},"schema":"https://github.com/citation-style-language/schema/raw/master/csl-citation.json"}</w:instrText>
      </w:r>
      <w:r w:rsidRPr="00993651">
        <w:rPr>
          <w:bCs/>
          <w:szCs w:val="24"/>
        </w:rPr>
        <w:fldChar w:fldCharType="separate"/>
      </w:r>
      <w:r w:rsidR="006015F6" w:rsidRPr="006015F6">
        <w:rPr>
          <w:bCs/>
          <w:noProof/>
          <w:szCs w:val="24"/>
        </w:rPr>
        <w:t>[9]</w:t>
      </w:r>
      <w:r w:rsidRPr="00993651">
        <w:rPr>
          <w:bCs/>
          <w:szCs w:val="24"/>
        </w:rPr>
        <w:fldChar w:fldCharType="end"/>
      </w:r>
      <w:r w:rsidRPr="00993651">
        <w:rPr>
          <w:bCs/>
          <w:szCs w:val="24"/>
        </w:rPr>
        <w:t xml:space="preserve"> model and is set to 2. The </w:t>
      </w:r>
      <w:r w:rsidRPr="00993651">
        <w:rPr>
          <w:bCs/>
          <w:i/>
          <w:szCs w:val="24"/>
        </w:rPr>
        <w:t>N</w:t>
      </w:r>
      <w:r w:rsidRPr="00993651">
        <w:rPr>
          <w:bCs/>
          <w:szCs w:val="24"/>
        </w:rPr>
        <w:t xml:space="preserve"> is the total number of branching levels, calculated as a function of </w:t>
      </w:r>
      <w:r w:rsidRPr="00993651">
        <w:rPr>
          <w:bCs/>
          <w:i/>
          <w:szCs w:val="24"/>
        </w:rPr>
        <w:t>h</w:t>
      </w:r>
      <w:r w:rsidRPr="00FC3E0A">
        <w:rPr>
          <w:bCs/>
          <w:szCs w:val="24"/>
        </w:rPr>
        <w:t>:</w:t>
      </w:r>
    </w:p>
    <w:p w14:paraId="3516AA9D" w14:textId="77777777" w:rsidR="00440A85" w:rsidRPr="00993651" w:rsidRDefault="00440A85" w:rsidP="00440A85">
      <w:pPr>
        <w:spacing w:line="360" w:lineRule="auto"/>
        <w:jc w:val="both"/>
        <w:rPr>
          <w:rFonts w:eastAsiaTheme="minorEastAsia"/>
          <w:iCs/>
          <w:szCs w:val="24"/>
        </w:rPr>
      </w:pPr>
      <m:oMathPara>
        <m:oMathParaPr>
          <m:jc m:val="left"/>
        </m:oMathParaPr>
        <m:oMath>
          <m:r>
            <w:rPr>
              <w:rFonts w:ascii="Cambria Math" w:hAnsi="Cambria Math"/>
              <w:szCs w:val="24"/>
            </w:rPr>
            <m:t>N=</m:t>
          </m:r>
          <m:f>
            <m:fPr>
              <m:ctrlPr>
                <w:rPr>
                  <w:rFonts w:ascii="Cambria Math" w:hAnsi="Cambria Math"/>
                  <w:i/>
                  <w:iCs/>
                  <w:szCs w:val="24"/>
                </w:rPr>
              </m:ctrlPr>
            </m:fPr>
            <m:num>
              <m:r>
                <w:rPr>
                  <w:rFonts w:ascii="Cambria Math" w:hAnsi="Cambria Math"/>
                  <w:szCs w:val="24"/>
                </w:rPr>
                <m:t>3</m:t>
              </m:r>
              <m:r>
                <m:rPr>
                  <m:sty m:val="p"/>
                </m:rPr>
                <w:rPr>
                  <w:rFonts w:ascii="Cambria Math" w:hAnsi="Cambria Math"/>
                  <w:szCs w:val="24"/>
                </w:rPr>
                <m:t>ln⁡</m:t>
              </m:r>
              <m:d>
                <m:dPr>
                  <m:begChr m:val="["/>
                  <m:endChr m:val="]"/>
                  <m:ctrlPr>
                    <w:rPr>
                      <w:rFonts w:ascii="Cambria Math" w:hAnsi="Cambria Math"/>
                      <w:szCs w:val="24"/>
                    </w:rPr>
                  </m:ctrlPr>
                </m:dPr>
                <m:e>
                  <m:r>
                    <w:rPr>
                      <w:rFonts w:ascii="Cambria Math" w:hAnsi="Cambria Math"/>
                      <w:szCs w:val="24"/>
                    </w:rPr>
                    <m:t>1-</m:t>
                  </m:r>
                  <m:f>
                    <m:fPr>
                      <m:ctrlPr>
                        <w:rPr>
                          <w:rFonts w:ascii="Cambria Math" w:hAnsi="Cambria Math"/>
                          <w:i/>
                          <w:iCs/>
                          <w:szCs w:val="24"/>
                        </w:rPr>
                      </m:ctrlPr>
                    </m:fPr>
                    <m:num>
                      <m:r>
                        <w:rPr>
                          <w:rFonts w:ascii="Cambria Math" w:hAnsi="Cambria Math"/>
                          <w:szCs w:val="24"/>
                        </w:rPr>
                        <m:t>h</m:t>
                      </m:r>
                    </m:num>
                    <m:den>
                      <m:sSub>
                        <m:sSubPr>
                          <m:ctrlPr>
                            <w:rPr>
                              <w:rFonts w:ascii="Cambria Math" w:hAnsi="Cambria Math"/>
                              <w:i/>
                              <w:iCs/>
                              <w:szCs w:val="24"/>
                            </w:rPr>
                          </m:ctrlPr>
                        </m:sSubPr>
                        <m:e>
                          <m:r>
                            <w:rPr>
                              <w:rFonts w:ascii="Cambria Math" w:hAnsi="Cambria Math"/>
                              <w:szCs w:val="24"/>
                            </w:rPr>
                            <m:t>L</m:t>
                          </m:r>
                        </m:e>
                        <m:sub>
                          <m:r>
                            <w:rPr>
                              <w:rFonts w:ascii="Cambria Math" w:hAnsi="Cambria Math"/>
                              <w:szCs w:val="24"/>
                            </w:rPr>
                            <m:t>pet</m:t>
                          </m:r>
                        </m:sub>
                      </m:sSub>
                    </m:den>
                  </m:f>
                  <m:r>
                    <w:rPr>
                      <w:rFonts w:ascii="Cambria Math" w:hAnsi="Cambria Math"/>
                      <w:szCs w:val="24"/>
                    </w:rPr>
                    <m:t>(1-</m:t>
                  </m:r>
                  <m:sSubSup>
                    <m:sSubSupPr>
                      <m:ctrlPr>
                        <w:rPr>
                          <w:rFonts w:ascii="Cambria Math" w:hAnsi="Cambria Math"/>
                          <w:i/>
                          <w:iCs/>
                          <w:szCs w:val="24"/>
                        </w:rPr>
                      </m:ctrlPr>
                    </m:sSubSupPr>
                    <m:e>
                      <m:r>
                        <w:rPr>
                          <w:rFonts w:ascii="Cambria Math" w:hAnsi="Cambria Math"/>
                          <w:szCs w:val="24"/>
                        </w:rPr>
                        <m:t>n</m:t>
                      </m:r>
                    </m:e>
                    <m:sub>
                      <m:r>
                        <w:rPr>
                          <w:rFonts w:ascii="Cambria Math" w:hAnsi="Cambria Math"/>
                          <w:szCs w:val="24"/>
                        </w:rPr>
                        <m:t>ext</m:t>
                      </m:r>
                    </m:sub>
                    <m:sup>
                      <m:f>
                        <m:fPr>
                          <m:type m:val="lin"/>
                          <m:ctrlPr>
                            <w:rPr>
                              <w:rFonts w:ascii="Cambria Math" w:hAnsi="Cambria Math"/>
                              <w:i/>
                              <w:iCs/>
                              <w:szCs w:val="24"/>
                            </w:rPr>
                          </m:ctrlPr>
                        </m:fPr>
                        <m:num>
                          <m:r>
                            <w:rPr>
                              <w:rFonts w:ascii="Cambria Math" w:hAnsi="Cambria Math"/>
                              <w:szCs w:val="24"/>
                            </w:rPr>
                            <m:t>1</m:t>
                          </m:r>
                        </m:num>
                        <m:den>
                          <m:r>
                            <w:rPr>
                              <w:rFonts w:ascii="Cambria Math" w:hAnsi="Cambria Math"/>
                              <w:szCs w:val="24"/>
                            </w:rPr>
                            <m:t>3</m:t>
                          </m:r>
                        </m:den>
                      </m:f>
                    </m:sup>
                  </m:sSubSup>
                  <m:r>
                    <w:rPr>
                      <w:rFonts w:ascii="Cambria Math" w:hAnsi="Cambria Math"/>
                      <w:szCs w:val="24"/>
                    </w:rPr>
                    <m:t>)</m:t>
                  </m:r>
                </m:e>
              </m:d>
            </m:num>
            <m:den>
              <m:r>
                <m:rPr>
                  <m:sty m:val="p"/>
                </m:rPr>
                <w:rPr>
                  <w:rFonts w:ascii="Cambria Math" w:hAnsi="Cambria Math"/>
                  <w:szCs w:val="24"/>
                </w:rPr>
                <m:t>ln⁡</m:t>
              </m:r>
              <m:r>
                <w:rPr>
                  <w:rFonts w:ascii="Cambria Math" w:hAnsi="Cambria Math"/>
                  <w:szCs w:val="24"/>
                </w:rPr>
                <m:t>(</m:t>
              </m:r>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ext</m:t>
                  </m:r>
                </m:sub>
              </m:sSub>
              <m:r>
                <w:rPr>
                  <w:rFonts w:ascii="Cambria Math" w:hAnsi="Cambria Math"/>
                  <w:szCs w:val="24"/>
                </w:rPr>
                <m:t>)</m:t>
              </m:r>
            </m:den>
          </m:f>
          <m:r>
            <w:rPr>
              <w:rFonts w:ascii="Cambria Math" w:hAnsi="Cambria Math"/>
              <w:szCs w:val="24"/>
            </w:rPr>
            <m:t>-1</m:t>
          </m:r>
        </m:oMath>
      </m:oMathPara>
    </w:p>
    <w:p w14:paraId="3516AA9E" w14:textId="5035CB15" w:rsidR="00440A85" w:rsidRDefault="00440A85" w:rsidP="00440A85">
      <w:pPr>
        <w:spacing w:line="360" w:lineRule="auto"/>
        <w:jc w:val="both"/>
        <w:rPr>
          <w:bCs/>
          <w:szCs w:val="24"/>
        </w:rPr>
      </w:pPr>
      <w:r w:rsidRPr="00993651">
        <w:rPr>
          <w:bCs/>
          <w:szCs w:val="24"/>
        </w:rPr>
        <w:t xml:space="preserve">where </w:t>
      </w:r>
      <w:proofErr w:type="spellStart"/>
      <w:r w:rsidRPr="00993651">
        <w:rPr>
          <w:bCs/>
          <w:i/>
          <w:szCs w:val="24"/>
        </w:rPr>
        <w:t>L</w:t>
      </w:r>
      <w:r w:rsidRPr="00993651">
        <w:rPr>
          <w:bCs/>
          <w:i/>
          <w:szCs w:val="24"/>
          <w:vertAlign w:val="subscript"/>
        </w:rPr>
        <w:t>pet</w:t>
      </w:r>
      <w:proofErr w:type="spellEnd"/>
      <w:r w:rsidRPr="00993651">
        <w:rPr>
          <w:bCs/>
          <w:szCs w:val="24"/>
        </w:rPr>
        <w:t xml:space="preserve"> is petiole length set to 0.04 m </w:t>
      </w:r>
      <w:r w:rsidRPr="00993651">
        <w:rPr>
          <w:bCs/>
          <w:szCs w:val="24"/>
        </w:rPr>
        <w:fldChar w:fldCharType="begin" w:fldLock="1"/>
      </w:r>
      <w:r w:rsidR="00BC06F6">
        <w:rPr>
          <w:bCs/>
          <w:szCs w:val="24"/>
        </w:rPr>
        <w:instrText>ADDIN CSL_CITATION {"citationItems":[{"id":"ITEM-1","itemData":{"DOI":"10.1073/pnas.1012194108/-/DCSupplemental.www.pnas.org/cgi/doi/10.1073/pnas.1012194108","ISBN":"1012194108","author":[{"dropping-particle":"","family":"Savage","given":"V M","non-dropping-particle":"","parse-names":false,"suffix":""},{"dropping-particle":"","family":"Bentley","given":"L P","non-dropping-particle":"","parse-names":false,"suffix":""},{"dropping-particle":"","family":"Enquist","given":"B J","non-dropping-particle":"","parse-names":false,"suffix":""},{"dropping-particle":"","family":"Sperry","given":"J S","non-dropping-particle":"","parse-names":false,"suffix":""},{"dropping-particle":"","family":"Smith","given":"D D","non-dropping-particle":"","parse-names":false,"suffix":""},{"dropping-particle":"","family":"Reich","given":"P B","non-dropping-particle":"","parse-names":false,"suffix":""},{"dropping-particle":"Von","family":"Allmen","given":"E I","non-dropping-particle":"","parse-names":false,"suffix":""}],"id":"ITEM-1","issued":{"date-parts":[["2010"]]},"title":"Hydraulic trade-offs and space filling enable better predictions of vascular structure and function in plants","type":"article-journal"},"uris":["http://www.mendeley.com/documents/?uuid=14ebf27a-7390-4560-bd4d-b8f74316db08"]}],"mendeley":{"formattedCitation":"[9]","plainTextFormattedCitation":"[9]","previouslyFormattedCitation":"[9]"},"properties":{"noteIndex":0},"schema":"https://github.com/citation-style-language/schema/raw/master/csl-citation.json"}</w:instrText>
      </w:r>
      <w:r w:rsidRPr="00993651">
        <w:rPr>
          <w:bCs/>
          <w:szCs w:val="24"/>
        </w:rPr>
        <w:fldChar w:fldCharType="separate"/>
      </w:r>
      <w:r w:rsidR="006015F6" w:rsidRPr="006015F6">
        <w:rPr>
          <w:bCs/>
          <w:noProof/>
          <w:szCs w:val="24"/>
        </w:rPr>
        <w:t>[9]</w:t>
      </w:r>
      <w:r w:rsidRPr="00993651">
        <w:rPr>
          <w:bCs/>
          <w:szCs w:val="24"/>
        </w:rPr>
        <w:fldChar w:fldCharType="end"/>
      </w:r>
      <w:r w:rsidRPr="00993651">
        <w:rPr>
          <w:bCs/>
          <w:szCs w:val="24"/>
        </w:rPr>
        <w:t xml:space="preserve">. </w:t>
      </w:r>
    </w:p>
    <w:p w14:paraId="15957CD5" w14:textId="341A16DD" w:rsidR="00CD7929" w:rsidRDefault="007735BC" w:rsidP="00440A85">
      <w:pPr>
        <w:spacing w:line="360" w:lineRule="auto"/>
        <w:jc w:val="both"/>
        <w:outlineLvl w:val="0"/>
        <w:rPr>
          <w:b/>
          <w:bCs/>
          <w:szCs w:val="24"/>
        </w:rPr>
      </w:pPr>
      <w:r>
        <w:rPr>
          <w:b/>
          <w:bCs/>
          <w:szCs w:val="24"/>
        </w:rPr>
        <w:t>Note</w:t>
      </w:r>
      <w:r w:rsidR="008E1C7E">
        <w:rPr>
          <w:b/>
          <w:bCs/>
          <w:szCs w:val="24"/>
        </w:rPr>
        <w:t>s</w:t>
      </w:r>
      <w:r>
        <w:rPr>
          <w:b/>
          <w:bCs/>
          <w:szCs w:val="24"/>
        </w:rPr>
        <w:t xml:space="preserve"> </w:t>
      </w:r>
      <w:r w:rsidR="00061993">
        <w:rPr>
          <w:b/>
          <w:bCs/>
          <w:szCs w:val="24"/>
        </w:rPr>
        <w:t>S</w:t>
      </w:r>
      <w:r w:rsidR="00B5061C">
        <w:rPr>
          <w:b/>
          <w:bCs/>
          <w:szCs w:val="24"/>
        </w:rPr>
        <w:t>6</w:t>
      </w:r>
      <w:r w:rsidR="00061993">
        <w:rPr>
          <w:b/>
          <w:bCs/>
          <w:szCs w:val="24"/>
        </w:rPr>
        <w:t xml:space="preserve">. </w:t>
      </w:r>
      <w:r w:rsidR="00061993" w:rsidRPr="00061993">
        <w:rPr>
          <w:bCs/>
          <w:i/>
          <w:szCs w:val="24"/>
        </w:rPr>
        <w:t>Description of the Unified Stomatal Optimisation model</w:t>
      </w:r>
    </w:p>
    <w:p w14:paraId="4F7A8E66" w14:textId="015FF204" w:rsidR="00061993" w:rsidRDefault="00061993" w:rsidP="00061993">
      <w:pPr>
        <w:spacing w:line="360" w:lineRule="auto"/>
        <w:ind w:firstLine="720"/>
        <w:jc w:val="both"/>
        <w:rPr>
          <w:szCs w:val="24"/>
        </w:rPr>
      </w:pPr>
      <w:r w:rsidRPr="00683088">
        <w:rPr>
          <w:szCs w:val="24"/>
        </w:rPr>
        <w:t xml:space="preserve">The </w:t>
      </w:r>
      <w:r w:rsidR="007735BC">
        <w:rPr>
          <w:szCs w:val="24"/>
        </w:rPr>
        <w:t>Unified Stomatal Model (</w:t>
      </w:r>
      <w:r w:rsidRPr="00683088">
        <w:rPr>
          <w:szCs w:val="24"/>
        </w:rPr>
        <w:t>USO</w:t>
      </w:r>
      <w:r w:rsidR="007735BC">
        <w:rPr>
          <w:szCs w:val="24"/>
        </w:rPr>
        <w:t>) from Medlyn et al</w:t>
      </w:r>
      <w:r w:rsidRPr="00683088">
        <w:rPr>
          <w:szCs w:val="24"/>
        </w:rPr>
        <w:t xml:space="preserve"> </w:t>
      </w:r>
      <w:r w:rsidR="000E01C5">
        <w:rPr>
          <w:szCs w:val="24"/>
        </w:rPr>
        <w:fldChar w:fldCharType="begin" w:fldLock="1"/>
      </w:r>
      <w:r w:rsidR="009C423F">
        <w:rPr>
          <w:szCs w:val="24"/>
        </w:rPr>
        <w:instrText>ADDIN CSL_CITATION {"citationItems":[{"id":"ITEM-1","itemData":{"DOI":"10.1111/j.1365-2486.2010.02375.x","ISBN":"1354-1013","ISSN":"13541013","PMID":"79955035036","abstract":"Models of vegetation function are widely used to predict the effects\\nof climate change on carbon, water and nutrient cycles of terrestrial\\necosystems, and their feedbacks to climate. Stomatal conductance,\\nthe process that governs plant water use and carbon uptake, is fundamental\\nto such models. In this paper, we reconcile two long-standing theories\\nof stomatal conductance. The empirical approach, which is most commonly\\nused in vegetation models, is phenomenological, based on experimental\\nobservations of stomatal behaviour in response to environmental conditions.\\nThe optimal approach is based on the theoretical argument that stomata\\nshould act to minimize the amount of water used per unit carbon gained.\\nWe reconcile these two approaches by showing that the theory of optimal\\nstomatal conductance can be used to derive a model of stomatal conductance\\nthat is closely analogous to the empirical models. Consequently,\\nwe obtain a unified stomatal model which has a similar form to existing\\nempirical models, but which now provides a theoretical interpretation\\nfor model parameter values. The key model parameter, g(1), is predicted\\nto increase with growth temperature and with the marginal water cost\\nof carbon gain. The new model is fitted to a range of datasets ranging\\nfrom tropical to boreal trees. The parameter g(1) is shown to vary\\nwith growth temperature, as predicted, and also with plant functional\\ntype. The model is shown to correctly capture responses of stomatal\\nconductance to changing atmospheric CO2, and thus can be used to\\ntest for stomatal acclimation to elevated CO2. The reconciliation\\nof the optimal and empirical approaches to modelling stomatal conductance\\nis important for global change biology because it provides a simple\\ntheoretical framework for analyzing, and simulating, the coupling\\nbetween carbon and water cycles under environmental change. ","author":[{"dropping-particle":"","family":"Medlyn","given":"Belinda E.","non-dropping-particle":"","parse-names":false,"suffix":""},{"dropping-particle":"","family":"Duursma","given":"Remko A.","non-dropping-particle":"","parse-names":false,"suffix":""},{"dropping-particle":"","family":"Eamus","given":"Derek","non-dropping-particle":"","parse-names":false,"suffix":""},{"dropping-particle":"","family":"Ellsworth","given":"David S.","non-dropping-particle":"","parse-names":false,"suffix":""},{"dropping-particle":"","family":"Prentice","given":"I. Colin","non-dropping-particle":"","parse-names":false,"suffix":""},{"dropping-particle":"","family":"Barton","given":"Craig V.M.","non-dropping-particle":"","parse-names":false,"suffix":""},{"dropping-particle":"","family":"Crous","given":"Kristine Y.","non-dropping-particle":"","parse-names":false,"suffix":""},{"dropping-particle":"","family":"Angelis","given":"Paolo","non-dropping-particle":"De","parse-names":false,"suffix":""},{"dropping-particle":"","family":"Freeman","given":"Michael","non-dropping-particle":"","parse-names":false,"suffix":""},{"dropping-particle":"","family":"Wingate","given":"Lisa","non-dropping-particle":"","parse-names":false,"suffix":""}],"container-title":"Global Change Biology","id":"ITEM-1","issue":"6","issued":{"date-parts":[["2011"]]},"page":"2134-2144","title":"Reconciling the optimal and empirical approaches to modelling stomatal conductance","type":"article-journal","volume":"17"},"uris":["http://www.mendeley.com/documents/?uuid=3f632835-5f4c-48e5-84cf-462b00db3e27"]}],"mendeley":{"formattedCitation":"[10]","plainTextFormattedCitation":"[10]","previouslyFormattedCitation":"[10]"},"properties":{"noteIndex":0},"schema":"https://github.com/citation-style-language/schema/raw/master/csl-citation.json"}</w:instrText>
      </w:r>
      <w:r w:rsidR="000E01C5">
        <w:rPr>
          <w:szCs w:val="24"/>
        </w:rPr>
        <w:fldChar w:fldCharType="separate"/>
      </w:r>
      <w:r w:rsidR="000E01C5" w:rsidRPr="000E01C5">
        <w:rPr>
          <w:noProof/>
          <w:szCs w:val="24"/>
        </w:rPr>
        <w:t>[10]</w:t>
      </w:r>
      <w:r w:rsidR="000E01C5">
        <w:rPr>
          <w:szCs w:val="24"/>
        </w:rPr>
        <w:fldChar w:fldCharType="end"/>
      </w:r>
      <w:r w:rsidR="000E01C5">
        <w:rPr>
          <w:szCs w:val="24"/>
        </w:rPr>
        <w:t xml:space="preserve"> </w:t>
      </w:r>
      <w:r w:rsidRPr="00683088">
        <w:rPr>
          <w:szCs w:val="24"/>
        </w:rPr>
        <w:t>relates stomatal conductance to water (</w:t>
      </w:r>
      <w:proofErr w:type="spellStart"/>
      <w:r w:rsidRPr="00683088">
        <w:rPr>
          <w:i/>
          <w:iCs/>
          <w:szCs w:val="24"/>
        </w:rPr>
        <w:t>g</w:t>
      </w:r>
      <w:r w:rsidRPr="00683088">
        <w:rPr>
          <w:szCs w:val="24"/>
          <w:vertAlign w:val="subscript"/>
        </w:rPr>
        <w:t>w</w:t>
      </w:r>
      <w:proofErr w:type="spellEnd"/>
      <w:r w:rsidRPr="00683088">
        <w:rPr>
          <w:szCs w:val="24"/>
          <w:vertAlign w:val="subscript"/>
        </w:rPr>
        <w:t xml:space="preserve">, </w:t>
      </w:r>
      <w:proofErr w:type="spellStart"/>
      <w:r w:rsidRPr="00683088">
        <w:rPr>
          <w:szCs w:val="24"/>
        </w:rPr>
        <w:t>mol</w:t>
      </w:r>
      <w:proofErr w:type="spellEnd"/>
      <w:r w:rsidRPr="00683088">
        <w:rPr>
          <w:szCs w:val="24"/>
        </w:rPr>
        <w:t xml:space="preserve"> m</w:t>
      </w:r>
      <w:r w:rsidRPr="00683088">
        <w:rPr>
          <w:szCs w:val="24"/>
          <w:vertAlign w:val="superscript"/>
        </w:rPr>
        <w:t>-2</w:t>
      </w:r>
      <w:r w:rsidRPr="00683088">
        <w:rPr>
          <w:szCs w:val="24"/>
        </w:rPr>
        <w:t xml:space="preserve"> s</w:t>
      </w:r>
      <w:r w:rsidRPr="00683088">
        <w:rPr>
          <w:szCs w:val="24"/>
          <w:vertAlign w:val="superscript"/>
        </w:rPr>
        <w:t>-1</w:t>
      </w:r>
      <w:r w:rsidRPr="00683088">
        <w:rPr>
          <w:szCs w:val="24"/>
        </w:rPr>
        <w:t xml:space="preserve">) with </w:t>
      </w:r>
      <w:r w:rsidRPr="00683088">
        <w:rPr>
          <w:i/>
          <w:iCs/>
          <w:szCs w:val="24"/>
        </w:rPr>
        <w:t>A</w:t>
      </w:r>
      <w:r w:rsidRPr="00683088">
        <w:rPr>
          <w:szCs w:val="24"/>
        </w:rPr>
        <w:t xml:space="preserve"> (µmol m</w:t>
      </w:r>
      <w:r w:rsidRPr="00683088">
        <w:rPr>
          <w:szCs w:val="24"/>
          <w:vertAlign w:val="superscript"/>
        </w:rPr>
        <w:t>-2</w:t>
      </w:r>
      <w:r w:rsidRPr="00683088">
        <w:rPr>
          <w:szCs w:val="24"/>
        </w:rPr>
        <w:t xml:space="preserve"> s</w:t>
      </w:r>
      <w:r w:rsidRPr="00683088">
        <w:rPr>
          <w:szCs w:val="24"/>
          <w:vertAlign w:val="superscript"/>
        </w:rPr>
        <w:t>-1</w:t>
      </w:r>
      <w:r w:rsidRPr="00683088">
        <w:rPr>
          <w:szCs w:val="24"/>
        </w:rPr>
        <w:t>) using two empirically</w:t>
      </w:r>
      <w:r>
        <w:rPr>
          <w:szCs w:val="24"/>
        </w:rPr>
        <w:t>-</w:t>
      </w:r>
      <w:r w:rsidRPr="00683088">
        <w:rPr>
          <w:szCs w:val="24"/>
        </w:rPr>
        <w:t xml:space="preserve">estimated parameters: the minimum </w:t>
      </w:r>
      <w:proofErr w:type="spellStart"/>
      <w:r w:rsidRPr="00683088">
        <w:rPr>
          <w:i/>
          <w:iCs/>
          <w:szCs w:val="24"/>
        </w:rPr>
        <w:t>g</w:t>
      </w:r>
      <w:r w:rsidRPr="00683088">
        <w:rPr>
          <w:szCs w:val="24"/>
          <w:vertAlign w:val="subscript"/>
        </w:rPr>
        <w:t>w</w:t>
      </w:r>
      <w:proofErr w:type="spellEnd"/>
      <w:r w:rsidRPr="00683088">
        <w:rPr>
          <w:szCs w:val="24"/>
        </w:rPr>
        <w:t xml:space="preserve">, </w:t>
      </w:r>
      <w:r w:rsidRPr="00683088">
        <w:rPr>
          <w:i/>
          <w:iCs/>
          <w:szCs w:val="24"/>
        </w:rPr>
        <w:t>g</w:t>
      </w:r>
      <w:r w:rsidRPr="00683088">
        <w:rPr>
          <w:szCs w:val="24"/>
          <w:vertAlign w:val="subscript"/>
        </w:rPr>
        <w:t>0</w:t>
      </w:r>
      <w:r w:rsidRPr="00683088">
        <w:rPr>
          <w:szCs w:val="24"/>
        </w:rPr>
        <w:t xml:space="preserve"> (</w:t>
      </w:r>
      <w:proofErr w:type="spellStart"/>
      <w:r w:rsidRPr="00683088">
        <w:rPr>
          <w:szCs w:val="24"/>
        </w:rPr>
        <w:t>mol</w:t>
      </w:r>
      <w:proofErr w:type="spellEnd"/>
      <w:r w:rsidRPr="00683088">
        <w:rPr>
          <w:szCs w:val="24"/>
        </w:rPr>
        <w:t xml:space="preserve"> m</w:t>
      </w:r>
      <w:r w:rsidRPr="00683088">
        <w:rPr>
          <w:szCs w:val="24"/>
          <w:vertAlign w:val="superscript"/>
        </w:rPr>
        <w:t>-2</w:t>
      </w:r>
      <w:r w:rsidRPr="00683088">
        <w:rPr>
          <w:szCs w:val="24"/>
        </w:rPr>
        <w:t xml:space="preserve"> s</w:t>
      </w:r>
      <w:r w:rsidRPr="00683088">
        <w:rPr>
          <w:szCs w:val="24"/>
          <w:vertAlign w:val="superscript"/>
        </w:rPr>
        <w:t>-1</w:t>
      </w:r>
      <w:r w:rsidRPr="00683088">
        <w:rPr>
          <w:szCs w:val="24"/>
        </w:rPr>
        <w:t xml:space="preserve">), and </w:t>
      </w:r>
      <w:r w:rsidRPr="00683088">
        <w:rPr>
          <w:i/>
          <w:iCs/>
          <w:szCs w:val="24"/>
        </w:rPr>
        <w:t>g</w:t>
      </w:r>
      <w:r w:rsidRPr="00683088">
        <w:rPr>
          <w:szCs w:val="24"/>
          <w:vertAlign w:val="subscript"/>
        </w:rPr>
        <w:t>1</w:t>
      </w:r>
      <w:r w:rsidRPr="00683088">
        <w:rPr>
          <w:szCs w:val="24"/>
        </w:rPr>
        <w:t xml:space="preserve"> (kPa</w:t>
      </w:r>
      <w:r w:rsidRPr="00683088">
        <w:rPr>
          <w:szCs w:val="24"/>
          <w:vertAlign w:val="superscript"/>
        </w:rPr>
        <w:t>-0.5</w:t>
      </w:r>
      <w:r w:rsidRPr="00683088">
        <w:rPr>
          <w:szCs w:val="24"/>
        </w:rPr>
        <w:t>)</w:t>
      </w:r>
      <w:r>
        <w:rPr>
          <w:szCs w:val="24"/>
        </w:rPr>
        <w:t>:</w:t>
      </w:r>
    </w:p>
    <w:p w14:paraId="2BB5C9FB" w14:textId="751780C6" w:rsidR="00061993" w:rsidRPr="00683088" w:rsidRDefault="00EA5F47" w:rsidP="00061993">
      <w:pPr>
        <w:spacing w:line="360" w:lineRule="auto"/>
        <w:ind w:firstLine="720"/>
        <w:jc w:val="both"/>
        <w:rPr>
          <w:szCs w:val="24"/>
        </w:rPr>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0</m:t>
            </m:r>
          </m:sub>
        </m:sSub>
        <m:r>
          <w:rPr>
            <w:rFonts w:ascii="Cambria Math" w:hAnsi="Cambria Math"/>
            <w:szCs w:val="24"/>
          </w:rPr>
          <m:t>+1.6</m:t>
        </m:r>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g</m:t>
                    </m:r>
                  </m:e>
                  <m:sub>
                    <m:r>
                      <w:rPr>
                        <w:rFonts w:ascii="Cambria Math" w:hAnsi="Cambria Math"/>
                        <w:szCs w:val="24"/>
                      </w:rPr>
                      <m:t>1</m:t>
                    </m:r>
                  </m:sub>
                </m:sSub>
              </m:num>
              <m:den>
                <m:rad>
                  <m:radPr>
                    <m:degHide m:val="1"/>
                    <m:ctrlPr>
                      <w:rPr>
                        <w:rFonts w:ascii="Cambria Math" w:hAnsi="Cambria Math"/>
                        <w:i/>
                        <w:szCs w:val="24"/>
                      </w:rPr>
                    </m:ctrlPr>
                  </m:radPr>
                  <m:deg/>
                  <m:e>
                    <m:r>
                      <w:rPr>
                        <w:rFonts w:ascii="Cambria Math" w:hAnsi="Cambria Math"/>
                        <w:szCs w:val="24"/>
                      </w:rPr>
                      <m:t>D</m:t>
                    </m:r>
                  </m:e>
                </m:rad>
              </m:den>
            </m:f>
          </m:e>
        </m:d>
        <m:f>
          <m:fPr>
            <m:ctrlPr>
              <w:rPr>
                <w:rFonts w:ascii="Cambria Math" w:hAnsi="Cambria Math"/>
                <w:i/>
                <w:szCs w:val="24"/>
              </w:rPr>
            </m:ctrlPr>
          </m:fPr>
          <m:num>
            <m:r>
              <w:rPr>
                <w:rFonts w:ascii="Cambria Math" w:hAnsi="Cambria Math"/>
                <w:szCs w:val="24"/>
              </w:rPr>
              <m:t>A</m:t>
            </m: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a</m:t>
                </m:r>
              </m:sub>
            </m:sSub>
          </m:den>
        </m:f>
      </m:oMath>
      <w:r w:rsidR="00061993" w:rsidRPr="00683088">
        <w:rPr>
          <w:szCs w:val="24"/>
        </w:rPr>
        <w:t xml:space="preserve"> </w:t>
      </w:r>
      <w:r w:rsidR="00061993" w:rsidRPr="00683088">
        <w:rPr>
          <w:szCs w:val="24"/>
        </w:rPr>
        <w:tab/>
      </w:r>
      <w:r w:rsidR="00061993" w:rsidRPr="00683088">
        <w:rPr>
          <w:szCs w:val="24"/>
        </w:rPr>
        <w:tab/>
      </w:r>
      <w:r w:rsidR="00061993" w:rsidRPr="00683088">
        <w:rPr>
          <w:szCs w:val="24"/>
        </w:rPr>
        <w:tab/>
      </w:r>
      <w:r w:rsidR="00061993" w:rsidRPr="00683088">
        <w:rPr>
          <w:szCs w:val="24"/>
        </w:rPr>
        <w:tab/>
      </w:r>
      <w:r w:rsidR="00061993" w:rsidRPr="00683088">
        <w:rPr>
          <w:szCs w:val="24"/>
        </w:rPr>
        <w:tab/>
      </w:r>
      <w:r w:rsidR="00061993" w:rsidRPr="00683088">
        <w:rPr>
          <w:szCs w:val="24"/>
        </w:rPr>
        <w:tab/>
      </w:r>
      <w:r w:rsidR="00061993" w:rsidRPr="00683088">
        <w:rPr>
          <w:szCs w:val="24"/>
        </w:rPr>
        <w:tab/>
      </w:r>
    </w:p>
    <w:p w14:paraId="1AC61CE7" w14:textId="3795313A" w:rsidR="00D07568" w:rsidRPr="001842A8" w:rsidRDefault="00061993" w:rsidP="00D07568">
      <w:pPr>
        <w:spacing w:line="360" w:lineRule="auto"/>
        <w:ind w:firstLine="720"/>
        <w:jc w:val="both"/>
        <w:rPr>
          <w:szCs w:val="24"/>
        </w:rPr>
      </w:pPr>
      <w:r w:rsidRPr="00683088">
        <w:rPr>
          <w:szCs w:val="24"/>
        </w:rPr>
        <w:t xml:space="preserve">where </w:t>
      </w:r>
      <w:r w:rsidRPr="00683088">
        <w:rPr>
          <w:i/>
          <w:iCs/>
          <w:szCs w:val="24"/>
        </w:rPr>
        <w:t>c</w:t>
      </w:r>
      <w:r w:rsidRPr="00683088">
        <w:rPr>
          <w:szCs w:val="24"/>
          <w:vertAlign w:val="subscript"/>
        </w:rPr>
        <w:t>a</w:t>
      </w:r>
      <w:r w:rsidRPr="00683088">
        <w:rPr>
          <w:szCs w:val="24"/>
        </w:rPr>
        <w:t xml:space="preserve"> is in µmol mol</w:t>
      </w:r>
      <w:r w:rsidRPr="00683088">
        <w:rPr>
          <w:szCs w:val="24"/>
          <w:vertAlign w:val="superscript"/>
        </w:rPr>
        <w:t>-1</w:t>
      </w:r>
      <w:r w:rsidRPr="00683088">
        <w:rPr>
          <w:szCs w:val="24"/>
        </w:rPr>
        <w:t xml:space="preserve"> and </w:t>
      </w:r>
      <w:r w:rsidRPr="00683088">
        <w:rPr>
          <w:i/>
          <w:iCs/>
          <w:szCs w:val="24"/>
        </w:rPr>
        <w:t>D</w:t>
      </w:r>
      <w:r w:rsidRPr="00683088">
        <w:rPr>
          <w:szCs w:val="24"/>
        </w:rPr>
        <w:t xml:space="preserve"> in kPa.</w:t>
      </w:r>
      <w:r>
        <w:rPr>
          <w:szCs w:val="24"/>
        </w:rPr>
        <w:t xml:space="preserve"> </w:t>
      </w:r>
      <w:r w:rsidR="00D07568">
        <w:rPr>
          <w:szCs w:val="24"/>
        </w:rPr>
        <w:t xml:space="preserve">The USO parameter </w:t>
      </w:r>
      <w:r w:rsidR="00D07568" w:rsidRPr="004C770D">
        <w:rPr>
          <w:i/>
          <w:szCs w:val="24"/>
        </w:rPr>
        <w:t>g</w:t>
      </w:r>
      <w:r w:rsidR="00D07568" w:rsidRPr="004C770D">
        <w:rPr>
          <w:i/>
          <w:szCs w:val="24"/>
          <w:vertAlign w:val="subscript"/>
        </w:rPr>
        <w:t>1</w:t>
      </w:r>
      <w:r w:rsidR="00D07568">
        <w:rPr>
          <w:i/>
          <w:szCs w:val="24"/>
          <w:vertAlign w:val="subscript"/>
        </w:rPr>
        <w:t xml:space="preserve"> </w:t>
      </w:r>
      <w:r w:rsidR="00D07568">
        <w:rPr>
          <w:szCs w:val="24"/>
        </w:rPr>
        <w:t>can be</w:t>
      </w:r>
      <w:r w:rsidR="00D07568" w:rsidRPr="001842A8">
        <w:rPr>
          <w:szCs w:val="24"/>
        </w:rPr>
        <w:t xml:space="preserve"> </w:t>
      </w:r>
      <w:r w:rsidR="00D07568">
        <w:rPr>
          <w:szCs w:val="24"/>
        </w:rPr>
        <w:t>related to the carbon cost of water as:</w:t>
      </w:r>
    </w:p>
    <w:p w14:paraId="3D4F8D0E" w14:textId="5843053D" w:rsidR="00D07568" w:rsidRDefault="00EA5F47" w:rsidP="00D07568">
      <w:pPr>
        <w:spacing w:line="360" w:lineRule="auto"/>
        <w:ind w:firstLine="720"/>
        <w:jc w:val="both"/>
        <w:rPr>
          <w:szCs w:val="24"/>
        </w:rPr>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1</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Γ</m:t>
                    </m:r>
                  </m:e>
                  <m:sup>
                    <m:r>
                      <w:rPr>
                        <w:rFonts w:ascii="Cambria Math" w:hAnsi="Cambria Math"/>
                        <w:szCs w:val="24"/>
                      </w:rPr>
                      <m:t>*</m:t>
                    </m:r>
                  </m:sup>
                </m:sSup>
              </m:num>
              <m:den>
                <m:r>
                  <m:rPr>
                    <m:sty m:val="p"/>
                  </m:rPr>
                  <w:rPr>
                    <w:rFonts w:ascii="Cambria Math" w:hAnsi="Cambria Math"/>
                    <w:szCs w:val="24"/>
                  </w:rPr>
                  <m:t>λ</m:t>
                </m:r>
              </m:den>
            </m:f>
          </m:e>
        </m:rad>
      </m:oMath>
      <w:r w:rsidR="00D07568">
        <w:rPr>
          <w:szCs w:val="24"/>
        </w:rPr>
        <w:tab/>
      </w:r>
      <w:r w:rsidR="00D07568">
        <w:rPr>
          <w:szCs w:val="24"/>
        </w:rPr>
        <w:tab/>
      </w:r>
      <w:r w:rsidR="00D07568">
        <w:rPr>
          <w:szCs w:val="24"/>
        </w:rPr>
        <w:tab/>
      </w:r>
    </w:p>
    <w:p w14:paraId="02632D71" w14:textId="48BEA175" w:rsidR="00061993" w:rsidRDefault="00D07568" w:rsidP="001710F8">
      <w:pPr>
        <w:spacing w:line="360" w:lineRule="auto"/>
        <w:jc w:val="both"/>
        <w:rPr>
          <w:szCs w:val="24"/>
        </w:rPr>
      </w:pPr>
      <w:r>
        <w:rPr>
          <w:szCs w:val="24"/>
        </w:rPr>
        <w:t>, where Γ</w:t>
      </w:r>
      <w:r w:rsidRPr="00BC0C64">
        <w:rPr>
          <w:szCs w:val="24"/>
          <w:vertAlign w:val="superscript"/>
        </w:rPr>
        <w:t>*</w:t>
      </w:r>
      <w:r>
        <w:rPr>
          <w:szCs w:val="24"/>
        </w:rPr>
        <w:t xml:space="preserve"> is the CO</w:t>
      </w:r>
      <w:r w:rsidRPr="002838D8">
        <w:rPr>
          <w:szCs w:val="24"/>
          <w:vertAlign w:val="subscript"/>
        </w:rPr>
        <w:t>2</w:t>
      </w:r>
      <w:r>
        <w:rPr>
          <w:szCs w:val="24"/>
        </w:rPr>
        <w:t xml:space="preserve"> compensation point in the absence of dark respiration (kPa). </w:t>
      </w:r>
      <w:r w:rsidR="001710F8" w:rsidRPr="00683088">
        <w:rPr>
          <w:szCs w:val="24"/>
        </w:rPr>
        <w:t xml:space="preserve">The USO parameters were </w:t>
      </w:r>
      <w:r w:rsidR="001710F8">
        <w:rPr>
          <w:szCs w:val="24"/>
        </w:rPr>
        <w:t xml:space="preserve">computed </w:t>
      </w:r>
      <w:r w:rsidR="001710F8" w:rsidRPr="00683088">
        <w:rPr>
          <w:szCs w:val="24"/>
        </w:rPr>
        <w:t xml:space="preserve">from the modelled </w:t>
      </w:r>
      <w:r w:rsidR="001710F8" w:rsidRPr="00683088">
        <w:rPr>
          <w:i/>
          <w:iCs/>
          <w:szCs w:val="24"/>
        </w:rPr>
        <w:t>A</w:t>
      </w:r>
      <w:r w:rsidR="001710F8" w:rsidRPr="00683088">
        <w:rPr>
          <w:szCs w:val="24"/>
        </w:rPr>
        <w:t xml:space="preserve"> and </w:t>
      </w:r>
      <w:proofErr w:type="spellStart"/>
      <w:r w:rsidR="001710F8" w:rsidRPr="00683088">
        <w:rPr>
          <w:i/>
          <w:iCs/>
          <w:szCs w:val="24"/>
        </w:rPr>
        <w:t>g</w:t>
      </w:r>
      <w:r w:rsidR="001710F8" w:rsidRPr="00683088">
        <w:rPr>
          <w:szCs w:val="24"/>
          <w:vertAlign w:val="subscript"/>
        </w:rPr>
        <w:t>w</w:t>
      </w:r>
      <w:proofErr w:type="spellEnd"/>
      <w:r w:rsidR="00BD58F8">
        <w:rPr>
          <w:szCs w:val="24"/>
        </w:rPr>
        <w:t xml:space="preserve"> by all the models evaluated against the Caxiuanã data in Figure 3. </w:t>
      </w:r>
    </w:p>
    <w:p w14:paraId="5444F05A" w14:textId="77777777" w:rsidR="00E344A9" w:rsidRPr="00683088" w:rsidRDefault="00E344A9" w:rsidP="001710F8">
      <w:pPr>
        <w:spacing w:line="360" w:lineRule="auto"/>
        <w:jc w:val="both"/>
        <w:rPr>
          <w:szCs w:val="24"/>
        </w:rPr>
      </w:pPr>
    </w:p>
    <w:p w14:paraId="7085102D" w14:textId="77777777" w:rsidR="004D5274" w:rsidRDefault="004D5274" w:rsidP="00440A85">
      <w:pPr>
        <w:spacing w:line="360" w:lineRule="auto"/>
        <w:jc w:val="both"/>
        <w:outlineLvl w:val="0"/>
        <w:rPr>
          <w:b/>
          <w:bCs/>
          <w:szCs w:val="24"/>
        </w:rPr>
      </w:pPr>
    </w:p>
    <w:p w14:paraId="602B3E40" w14:textId="77777777" w:rsidR="004D5274" w:rsidRDefault="004D5274" w:rsidP="00440A85">
      <w:pPr>
        <w:spacing w:line="360" w:lineRule="auto"/>
        <w:jc w:val="both"/>
        <w:outlineLvl w:val="0"/>
        <w:rPr>
          <w:b/>
          <w:bCs/>
          <w:szCs w:val="24"/>
        </w:rPr>
      </w:pPr>
    </w:p>
    <w:p w14:paraId="7A2C82B4" w14:textId="77777777" w:rsidR="004D5274" w:rsidRDefault="004D5274" w:rsidP="00440A85">
      <w:pPr>
        <w:spacing w:line="360" w:lineRule="auto"/>
        <w:jc w:val="both"/>
        <w:outlineLvl w:val="0"/>
        <w:rPr>
          <w:b/>
          <w:bCs/>
          <w:szCs w:val="24"/>
        </w:rPr>
      </w:pPr>
    </w:p>
    <w:p w14:paraId="2B778367" w14:textId="77777777" w:rsidR="004D5274" w:rsidRDefault="004D5274" w:rsidP="00440A85">
      <w:pPr>
        <w:spacing w:line="360" w:lineRule="auto"/>
        <w:jc w:val="both"/>
        <w:outlineLvl w:val="0"/>
        <w:rPr>
          <w:b/>
          <w:bCs/>
          <w:szCs w:val="24"/>
        </w:rPr>
      </w:pPr>
    </w:p>
    <w:p w14:paraId="3E788FE7" w14:textId="77777777" w:rsidR="004D5274" w:rsidRDefault="004D5274" w:rsidP="00440A85">
      <w:pPr>
        <w:spacing w:line="360" w:lineRule="auto"/>
        <w:jc w:val="both"/>
        <w:outlineLvl w:val="0"/>
        <w:rPr>
          <w:b/>
          <w:bCs/>
          <w:szCs w:val="24"/>
        </w:rPr>
      </w:pPr>
    </w:p>
    <w:p w14:paraId="451F93BA" w14:textId="77777777" w:rsidR="004D5274" w:rsidRDefault="004D5274" w:rsidP="00440A85">
      <w:pPr>
        <w:spacing w:line="360" w:lineRule="auto"/>
        <w:jc w:val="both"/>
        <w:outlineLvl w:val="0"/>
        <w:rPr>
          <w:b/>
          <w:bCs/>
          <w:szCs w:val="24"/>
        </w:rPr>
      </w:pPr>
    </w:p>
    <w:p w14:paraId="4838FC19" w14:textId="77777777" w:rsidR="004D5274" w:rsidRDefault="004D5274" w:rsidP="00440A85">
      <w:pPr>
        <w:spacing w:line="360" w:lineRule="auto"/>
        <w:jc w:val="both"/>
        <w:outlineLvl w:val="0"/>
        <w:rPr>
          <w:b/>
          <w:bCs/>
          <w:szCs w:val="24"/>
        </w:rPr>
      </w:pPr>
    </w:p>
    <w:p w14:paraId="3320D16E" w14:textId="77777777" w:rsidR="004D5274" w:rsidRDefault="004D5274" w:rsidP="00440A85">
      <w:pPr>
        <w:spacing w:line="360" w:lineRule="auto"/>
        <w:jc w:val="both"/>
        <w:outlineLvl w:val="0"/>
        <w:rPr>
          <w:b/>
          <w:bCs/>
          <w:szCs w:val="24"/>
        </w:rPr>
      </w:pPr>
    </w:p>
    <w:p w14:paraId="1DD5E065" w14:textId="77777777" w:rsidR="004D5274" w:rsidRDefault="004D5274" w:rsidP="00440A85">
      <w:pPr>
        <w:spacing w:line="360" w:lineRule="auto"/>
        <w:jc w:val="both"/>
        <w:outlineLvl w:val="0"/>
        <w:rPr>
          <w:b/>
          <w:bCs/>
          <w:szCs w:val="24"/>
        </w:rPr>
      </w:pPr>
    </w:p>
    <w:p w14:paraId="0E45C77D" w14:textId="4B88ED7E" w:rsidR="004D5274" w:rsidRDefault="004D5274" w:rsidP="00440A85">
      <w:pPr>
        <w:spacing w:line="360" w:lineRule="auto"/>
        <w:jc w:val="both"/>
        <w:outlineLvl w:val="0"/>
        <w:rPr>
          <w:b/>
          <w:bCs/>
          <w:szCs w:val="24"/>
        </w:rPr>
      </w:pPr>
    </w:p>
    <w:p w14:paraId="5F0BD476" w14:textId="63E29CF7" w:rsidR="00581682" w:rsidRDefault="00581682" w:rsidP="00440A85">
      <w:pPr>
        <w:spacing w:line="360" w:lineRule="auto"/>
        <w:jc w:val="both"/>
        <w:outlineLvl w:val="0"/>
        <w:rPr>
          <w:b/>
          <w:bCs/>
          <w:szCs w:val="24"/>
        </w:rPr>
      </w:pPr>
    </w:p>
    <w:p w14:paraId="07AC915E" w14:textId="02516A44" w:rsidR="00581682" w:rsidRDefault="00581682" w:rsidP="00440A85">
      <w:pPr>
        <w:spacing w:line="360" w:lineRule="auto"/>
        <w:jc w:val="both"/>
        <w:outlineLvl w:val="0"/>
        <w:rPr>
          <w:b/>
          <w:bCs/>
          <w:szCs w:val="24"/>
        </w:rPr>
      </w:pPr>
    </w:p>
    <w:p w14:paraId="08665F24" w14:textId="5A5C908A" w:rsidR="00581682" w:rsidRDefault="00581682" w:rsidP="00440A85">
      <w:pPr>
        <w:spacing w:line="360" w:lineRule="auto"/>
        <w:jc w:val="both"/>
        <w:outlineLvl w:val="0"/>
        <w:rPr>
          <w:b/>
          <w:bCs/>
          <w:szCs w:val="24"/>
        </w:rPr>
      </w:pPr>
    </w:p>
    <w:p w14:paraId="410E328B" w14:textId="77777777" w:rsidR="00E63F1B" w:rsidRDefault="00E63F1B" w:rsidP="00440A85">
      <w:pPr>
        <w:spacing w:line="360" w:lineRule="auto"/>
        <w:jc w:val="both"/>
        <w:outlineLvl w:val="0"/>
        <w:rPr>
          <w:b/>
          <w:bCs/>
          <w:szCs w:val="24"/>
        </w:rPr>
      </w:pPr>
    </w:p>
    <w:p w14:paraId="58B5E6B8" w14:textId="77777777" w:rsidR="00E63F1B" w:rsidRDefault="00E63F1B" w:rsidP="00440A85">
      <w:pPr>
        <w:spacing w:line="360" w:lineRule="auto"/>
        <w:jc w:val="both"/>
        <w:outlineLvl w:val="0"/>
        <w:rPr>
          <w:b/>
          <w:bCs/>
          <w:szCs w:val="24"/>
        </w:rPr>
      </w:pPr>
    </w:p>
    <w:p w14:paraId="55611415" w14:textId="77777777" w:rsidR="00E63F1B" w:rsidRDefault="00E63F1B" w:rsidP="00440A85">
      <w:pPr>
        <w:spacing w:line="360" w:lineRule="auto"/>
        <w:jc w:val="both"/>
        <w:outlineLvl w:val="0"/>
        <w:rPr>
          <w:b/>
          <w:bCs/>
          <w:szCs w:val="24"/>
        </w:rPr>
      </w:pPr>
    </w:p>
    <w:p w14:paraId="3516AAAB" w14:textId="5DAA00E6" w:rsidR="00440A85" w:rsidRDefault="00440A85" w:rsidP="00581682">
      <w:pPr>
        <w:spacing w:line="360" w:lineRule="auto"/>
        <w:jc w:val="center"/>
        <w:outlineLvl w:val="0"/>
        <w:rPr>
          <w:b/>
          <w:bCs/>
          <w:szCs w:val="24"/>
        </w:rPr>
      </w:pPr>
      <w:r w:rsidRPr="0071509E">
        <w:rPr>
          <w:b/>
          <w:bCs/>
          <w:szCs w:val="24"/>
        </w:rPr>
        <w:lastRenderedPageBreak/>
        <w:t>Supplementary Tables</w:t>
      </w:r>
    </w:p>
    <w:p w14:paraId="5DF16180" w14:textId="77777777" w:rsidR="00581682" w:rsidRPr="0071509E" w:rsidRDefault="00581682" w:rsidP="00581682">
      <w:pPr>
        <w:spacing w:line="360" w:lineRule="auto"/>
        <w:jc w:val="center"/>
        <w:outlineLvl w:val="0"/>
        <w:rPr>
          <w:b/>
          <w:bCs/>
          <w:szCs w:val="24"/>
        </w:rPr>
      </w:pPr>
    </w:p>
    <w:p w14:paraId="3516AAAC" w14:textId="1486C0BF" w:rsidR="00440A85" w:rsidRPr="0071509E" w:rsidRDefault="00440A85" w:rsidP="00440A85">
      <w:pPr>
        <w:spacing w:line="360" w:lineRule="auto"/>
        <w:jc w:val="both"/>
        <w:outlineLvl w:val="0"/>
        <w:rPr>
          <w:i/>
          <w:iCs/>
          <w:szCs w:val="24"/>
        </w:rPr>
      </w:pPr>
      <w:r w:rsidRPr="0071509E">
        <w:rPr>
          <w:b/>
          <w:bCs/>
          <w:szCs w:val="24"/>
        </w:rPr>
        <w:t xml:space="preserve">Table S1. </w:t>
      </w:r>
      <w:r w:rsidRPr="0071509E">
        <w:rPr>
          <w:szCs w:val="24"/>
        </w:rPr>
        <w:t xml:space="preserve">Plant inputs used for the </w:t>
      </w:r>
      <w:r w:rsidRPr="0071509E">
        <w:rPr>
          <w:bCs/>
          <w:szCs w:val="24"/>
        </w:rPr>
        <w:t>Caxiuanã</w:t>
      </w:r>
      <w:r w:rsidRPr="0071509E">
        <w:rPr>
          <w:szCs w:val="24"/>
        </w:rPr>
        <w:t xml:space="preserve"> National forest sit</w:t>
      </w:r>
      <w:r w:rsidR="0075032B">
        <w:rPr>
          <w:szCs w:val="24"/>
        </w:rPr>
        <w:t>e</w:t>
      </w:r>
    </w:p>
    <w:tbl>
      <w:tblPr>
        <w:tblStyle w:val="TableGrid"/>
        <w:tblW w:w="6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
        <w:gridCol w:w="1547"/>
        <w:gridCol w:w="2128"/>
        <w:gridCol w:w="1800"/>
      </w:tblGrid>
      <w:tr w:rsidR="00B853CB" w:rsidRPr="0071509E" w14:paraId="3516AAB0" w14:textId="4053567A" w:rsidTr="00E344A9">
        <w:trPr>
          <w:jc w:val="center"/>
        </w:trPr>
        <w:tc>
          <w:tcPr>
            <w:tcW w:w="1005" w:type="dxa"/>
            <w:tcBorders>
              <w:top w:val="single" w:sz="4" w:space="0" w:color="auto"/>
            </w:tcBorders>
          </w:tcPr>
          <w:p w14:paraId="3516AAAD" w14:textId="77777777" w:rsidR="00B853CB" w:rsidRPr="0071509E" w:rsidRDefault="00B853CB" w:rsidP="00E07064">
            <w:pPr>
              <w:spacing w:line="360" w:lineRule="auto"/>
              <w:rPr>
                <w:b/>
                <w:bCs/>
                <w:szCs w:val="24"/>
                <w:lang w:val="en-GB"/>
              </w:rPr>
            </w:pPr>
            <w:r w:rsidRPr="0071509E">
              <w:rPr>
                <w:b/>
                <w:bCs/>
                <w:szCs w:val="24"/>
              </w:rPr>
              <w:t>Symbol</w:t>
            </w:r>
          </w:p>
        </w:tc>
        <w:tc>
          <w:tcPr>
            <w:tcW w:w="1547" w:type="dxa"/>
            <w:tcBorders>
              <w:top w:val="single" w:sz="4" w:space="0" w:color="auto"/>
            </w:tcBorders>
          </w:tcPr>
          <w:p w14:paraId="3516AAAE" w14:textId="77777777" w:rsidR="00B853CB" w:rsidRPr="0071509E" w:rsidRDefault="00B853CB" w:rsidP="00E07064">
            <w:pPr>
              <w:spacing w:line="360" w:lineRule="auto"/>
              <w:jc w:val="center"/>
              <w:rPr>
                <w:b/>
                <w:bCs/>
                <w:szCs w:val="24"/>
                <w:lang w:val="en-GB"/>
              </w:rPr>
            </w:pPr>
            <w:r w:rsidRPr="0071509E">
              <w:rPr>
                <w:b/>
                <w:bCs/>
                <w:szCs w:val="24"/>
              </w:rPr>
              <w:t>Value</w:t>
            </w:r>
          </w:p>
        </w:tc>
        <w:tc>
          <w:tcPr>
            <w:tcW w:w="2128" w:type="dxa"/>
            <w:tcBorders>
              <w:top w:val="single" w:sz="4" w:space="0" w:color="auto"/>
            </w:tcBorders>
          </w:tcPr>
          <w:p w14:paraId="3516AAAF" w14:textId="77777777" w:rsidR="00B853CB" w:rsidRPr="0071509E" w:rsidRDefault="00B853CB" w:rsidP="00E07064">
            <w:pPr>
              <w:spacing w:line="360" w:lineRule="auto"/>
              <w:rPr>
                <w:b/>
                <w:bCs/>
                <w:szCs w:val="24"/>
                <w:lang w:val="en-GB"/>
              </w:rPr>
            </w:pPr>
            <w:r w:rsidRPr="0071509E">
              <w:rPr>
                <w:b/>
                <w:bCs/>
                <w:szCs w:val="24"/>
              </w:rPr>
              <w:t>Units</w:t>
            </w:r>
          </w:p>
        </w:tc>
        <w:tc>
          <w:tcPr>
            <w:tcW w:w="1800" w:type="dxa"/>
            <w:tcBorders>
              <w:top w:val="single" w:sz="4" w:space="0" w:color="auto"/>
            </w:tcBorders>
          </w:tcPr>
          <w:p w14:paraId="58296CAC" w14:textId="1323D86F" w:rsidR="00B853CB" w:rsidRPr="0071509E" w:rsidRDefault="00B853CB" w:rsidP="00E07064">
            <w:pPr>
              <w:spacing w:line="360" w:lineRule="auto"/>
              <w:rPr>
                <w:b/>
                <w:bCs/>
                <w:szCs w:val="24"/>
              </w:rPr>
            </w:pPr>
            <w:r>
              <w:rPr>
                <w:b/>
                <w:bCs/>
                <w:szCs w:val="24"/>
              </w:rPr>
              <w:t>Source</w:t>
            </w:r>
          </w:p>
        </w:tc>
      </w:tr>
      <w:tr w:rsidR="00B853CB" w:rsidRPr="0071509E" w14:paraId="3516AAC1" w14:textId="36AF7644" w:rsidTr="00E344A9">
        <w:trPr>
          <w:jc w:val="center"/>
        </w:trPr>
        <w:tc>
          <w:tcPr>
            <w:tcW w:w="1005" w:type="dxa"/>
            <w:tcBorders>
              <w:top w:val="single" w:sz="4" w:space="0" w:color="auto"/>
            </w:tcBorders>
          </w:tcPr>
          <w:p w14:paraId="3516AAB1" w14:textId="77777777" w:rsidR="00B853CB" w:rsidRPr="0071509E" w:rsidRDefault="00B853CB" w:rsidP="00E07064">
            <w:pPr>
              <w:spacing w:line="360" w:lineRule="auto"/>
              <w:jc w:val="both"/>
              <w:rPr>
                <w:szCs w:val="24"/>
                <w:lang w:val="en-GB"/>
              </w:rPr>
            </w:pPr>
            <w:r w:rsidRPr="0071509E">
              <w:rPr>
                <w:szCs w:val="24"/>
              </w:rPr>
              <w:t>ω</w:t>
            </w:r>
          </w:p>
        </w:tc>
        <w:tc>
          <w:tcPr>
            <w:tcW w:w="1547" w:type="dxa"/>
            <w:vMerge w:val="restart"/>
            <w:tcBorders>
              <w:top w:val="single" w:sz="4" w:space="0" w:color="auto"/>
            </w:tcBorders>
          </w:tcPr>
          <w:p w14:paraId="3516AAB2" w14:textId="77777777" w:rsidR="00B853CB" w:rsidRPr="0071509E" w:rsidRDefault="00B853CB" w:rsidP="00E07064">
            <w:pPr>
              <w:spacing w:line="360" w:lineRule="auto"/>
              <w:jc w:val="center"/>
              <w:rPr>
                <w:szCs w:val="24"/>
                <w:lang w:val="en-GB"/>
              </w:rPr>
            </w:pPr>
            <w:r w:rsidRPr="0071509E">
              <w:rPr>
                <w:szCs w:val="24"/>
              </w:rPr>
              <w:t>0.15</w:t>
            </w:r>
          </w:p>
          <w:p w14:paraId="3516AAB3" w14:textId="77777777" w:rsidR="00B853CB" w:rsidRPr="0071509E" w:rsidRDefault="00B853CB" w:rsidP="00E07064">
            <w:pPr>
              <w:spacing w:line="360" w:lineRule="auto"/>
              <w:jc w:val="center"/>
              <w:rPr>
                <w:szCs w:val="24"/>
                <w:lang w:val="en-GB"/>
              </w:rPr>
            </w:pPr>
            <w:r w:rsidRPr="0071509E">
              <w:rPr>
                <w:szCs w:val="24"/>
              </w:rPr>
              <w:t>2.9 x 10</w:t>
            </w:r>
            <w:r w:rsidRPr="0071509E">
              <w:rPr>
                <w:szCs w:val="24"/>
                <w:vertAlign w:val="superscript"/>
              </w:rPr>
              <w:t>-5</w:t>
            </w:r>
          </w:p>
          <w:p w14:paraId="3516AAB4" w14:textId="77777777" w:rsidR="00B853CB" w:rsidRPr="0071509E" w:rsidRDefault="00B853CB" w:rsidP="00E07064">
            <w:pPr>
              <w:spacing w:line="360" w:lineRule="auto"/>
              <w:jc w:val="center"/>
              <w:rPr>
                <w:szCs w:val="24"/>
                <w:lang w:val="en-GB"/>
              </w:rPr>
            </w:pPr>
            <w:r w:rsidRPr="0071509E">
              <w:rPr>
                <w:szCs w:val="24"/>
              </w:rPr>
              <w:t>43</w:t>
            </w:r>
          </w:p>
          <w:p w14:paraId="3516AAB5" w14:textId="77777777" w:rsidR="00B853CB" w:rsidRPr="0071509E" w:rsidRDefault="00B853CB" w:rsidP="00E07064">
            <w:pPr>
              <w:spacing w:line="360" w:lineRule="auto"/>
              <w:jc w:val="center"/>
              <w:rPr>
                <w:szCs w:val="24"/>
                <w:lang w:val="en-GB"/>
              </w:rPr>
            </w:pPr>
            <w:r w:rsidRPr="0071509E">
              <w:rPr>
                <w:szCs w:val="24"/>
              </w:rPr>
              <w:t>13</w:t>
            </w:r>
          </w:p>
          <w:p w14:paraId="3516AAB6" w14:textId="77777777" w:rsidR="00B853CB" w:rsidRPr="0071509E" w:rsidRDefault="00B853CB" w:rsidP="00E07064">
            <w:pPr>
              <w:spacing w:line="360" w:lineRule="auto"/>
              <w:jc w:val="center"/>
              <w:rPr>
                <w:szCs w:val="24"/>
                <w:lang w:val="en-GB"/>
              </w:rPr>
            </w:pPr>
            <w:r w:rsidRPr="0071509E">
              <w:rPr>
                <w:szCs w:val="24"/>
              </w:rPr>
              <w:t>0.08</w:t>
            </w:r>
          </w:p>
          <w:p w14:paraId="3516AAB7" w14:textId="77777777" w:rsidR="00B853CB" w:rsidRPr="0071509E" w:rsidRDefault="00B853CB" w:rsidP="00E07064">
            <w:pPr>
              <w:spacing w:line="360" w:lineRule="auto"/>
              <w:jc w:val="center"/>
              <w:rPr>
                <w:szCs w:val="24"/>
                <w:lang w:val="en-GB"/>
              </w:rPr>
            </w:pPr>
            <w:r w:rsidRPr="0071509E">
              <w:rPr>
                <w:szCs w:val="24"/>
              </w:rPr>
              <w:t>190</w:t>
            </w:r>
          </w:p>
          <w:p w14:paraId="3516AAB8" w14:textId="2103B30E" w:rsidR="00B853CB" w:rsidRPr="00993651" w:rsidRDefault="00B853CB" w:rsidP="00E07064">
            <w:pPr>
              <w:spacing w:line="360" w:lineRule="auto"/>
              <w:jc w:val="center"/>
              <w:rPr>
                <w:szCs w:val="24"/>
                <w:lang w:val="en-GB"/>
              </w:rPr>
            </w:pPr>
            <w:r>
              <w:rPr>
                <w:szCs w:val="24"/>
                <w:lang w:val="en-GB"/>
              </w:rPr>
              <w:t>1</w:t>
            </w:r>
            <w:r w:rsidRPr="00993651">
              <w:rPr>
                <w:szCs w:val="24"/>
                <w:lang w:val="en-GB"/>
              </w:rPr>
              <w:t>.</w:t>
            </w:r>
            <w:r>
              <w:rPr>
                <w:szCs w:val="24"/>
                <w:lang w:val="en-GB"/>
              </w:rPr>
              <w:t>2</w:t>
            </w:r>
            <w:r w:rsidRPr="00993651">
              <w:rPr>
                <w:szCs w:val="24"/>
                <w:lang w:val="en-GB"/>
              </w:rPr>
              <w:t xml:space="preserve"> </w:t>
            </w:r>
            <w:r w:rsidR="004C4AB9" w:rsidRPr="0071509E">
              <w:rPr>
                <w:szCs w:val="24"/>
              </w:rPr>
              <w:t>x 10</w:t>
            </w:r>
            <w:r w:rsidR="004C4AB9" w:rsidRPr="0071509E">
              <w:rPr>
                <w:szCs w:val="24"/>
                <w:vertAlign w:val="superscript"/>
              </w:rPr>
              <w:t>-5</w:t>
            </w:r>
          </w:p>
          <w:p w14:paraId="3516AAB9" w14:textId="382A715C" w:rsidR="00B853CB" w:rsidRPr="00993651" w:rsidRDefault="00B853CB" w:rsidP="00E07064">
            <w:pPr>
              <w:spacing w:line="360" w:lineRule="auto"/>
              <w:jc w:val="center"/>
              <w:rPr>
                <w:szCs w:val="24"/>
                <w:lang w:val="en-GB"/>
              </w:rPr>
            </w:pPr>
            <w:r>
              <w:rPr>
                <w:szCs w:val="24"/>
                <w:lang w:val="en-GB"/>
              </w:rPr>
              <w:t>3</w:t>
            </w:r>
            <w:r w:rsidRPr="00993651">
              <w:rPr>
                <w:szCs w:val="24"/>
                <w:lang w:val="en-GB"/>
              </w:rPr>
              <w:t>0</w:t>
            </w:r>
          </w:p>
          <w:p w14:paraId="3516AABF" w14:textId="6D7F2212" w:rsidR="00B853CB" w:rsidRPr="00993651" w:rsidRDefault="00B853CB" w:rsidP="00B853CB">
            <w:pPr>
              <w:spacing w:line="360" w:lineRule="auto"/>
              <w:jc w:val="center"/>
              <w:rPr>
                <w:szCs w:val="24"/>
                <w:lang w:val="en-GB"/>
              </w:rPr>
            </w:pPr>
            <w:r w:rsidRPr="00FC3E0A">
              <w:rPr>
                <w:szCs w:val="24"/>
                <w:lang w:val="en-GB"/>
              </w:rPr>
              <w:t>-2.</w:t>
            </w:r>
            <w:r w:rsidR="009C5D7D">
              <w:rPr>
                <w:szCs w:val="24"/>
                <w:lang w:val="en-GB"/>
              </w:rPr>
              <w:t>3</w:t>
            </w:r>
          </w:p>
        </w:tc>
        <w:tc>
          <w:tcPr>
            <w:tcW w:w="2128" w:type="dxa"/>
            <w:tcBorders>
              <w:top w:val="single" w:sz="4" w:space="0" w:color="auto"/>
            </w:tcBorders>
          </w:tcPr>
          <w:p w14:paraId="3516AAC0" w14:textId="77777777" w:rsidR="00B853CB" w:rsidRPr="00993651" w:rsidRDefault="00B853CB" w:rsidP="00E07064">
            <w:pPr>
              <w:spacing w:line="360" w:lineRule="auto"/>
              <w:jc w:val="both"/>
              <w:rPr>
                <w:szCs w:val="24"/>
                <w:lang w:val="en-GB"/>
              </w:rPr>
            </w:pPr>
            <w:r w:rsidRPr="00993651">
              <w:rPr>
                <w:szCs w:val="24"/>
                <w:lang w:val="en-GB"/>
              </w:rPr>
              <w:t>-</w:t>
            </w:r>
          </w:p>
        </w:tc>
        <w:tc>
          <w:tcPr>
            <w:tcW w:w="1800" w:type="dxa"/>
            <w:tcBorders>
              <w:top w:val="single" w:sz="4" w:space="0" w:color="auto"/>
            </w:tcBorders>
          </w:tcPr>
          <w:p w14:paraId="0458CDCC" w14:textId="12EE61C5" w:rsidR="00B853CB" w:rsidRPr="00993651" w:rsidRDefault="00B853CB" w:rsidP="00E07064">
            <w:pPr>
              <w:spacing w:line="360" w:lineRule="auto"/>
              <w:jc w:val="both"/>
              <w:rPr>
                <w:szCs w:val="24"/>
              </w:rPr>
            </w:pPr>
            <w:r>
              <w:rPr>
                <w:szCs w:val="24"/>
              </w:rPr>
              <w:fldChar w:fldCharType="begin" w:fldLock="1"/>
            </w:r>
            <w:r w:rsidR="00FA51AF">
              <w:rPr>
                <w:szCs w:val="24"/>
              </w:rPr>
              <w:instrText>ADDIN CSL_CITATION {"citationItems":[{"id":"ITEM-1","itemData":{"DOI":"10.5194/gmdd-4-641-2011","ISBN":"1991-959X","ISSN":"1991-962X","PMID":"23504720","abstract":"This manuscript describes the energy and water components of a new community land surface model called the Joint UK Land Environment Simulator (JULES). This is developed from the Met Office Surface Exchange Scheme (MOSES). It can be used as a stand alone land surface model driven by observed forcing data, or coupled to an atmospheric global circulation model. The JULES model has been coupled to the Met Office Unified Model (UM) and as such provides a unique opportunity for the research community to contribute their research to improve both worldleading operational weather forecasting and climate change prediction systems. In addition JULES, and its forerunner MOSES, have been the basis for a number of very highprofile papers concerning the land-surface and climate over the last decade. JULES has a modular structure aligned to physical processes, providing the basis for a flexible modelling platform.","author":[{"dropping-particle":"","family":"Clark","given":"D. B.","non-dropping-particle":"","parse-names":false,"suffix":""},{"dropping-particle":"","family":"Mercado","given":"L. M.","non-dropping-particle":"","parse-names":false,"suffix":""},{"dropping-particle":"","family":"Sitch","given":"S.","non-dropping-particle":"","parse-names":false,"suffix":""},{"dropping-particle":"","family":"Jones","given":"C. D.","non-dropping-particle":"","parse-names":false,"suffix":""},{"dropping-particle":"","family":"Gedney","given":"N.","non-dropping-particle":"","parse-names":false,"suffix":""},{"dropping-particle":"","family":"Best","given":"M. J.","non-dropping-particle":"","parse-names":false,"suffix":""},{"dropping-particle":"","family":"Pryor","given":"M.","non-dropping-particle":"","parse-names":false,"suffix":""},{"dropping-particle":"","family":"Rooney","given":"G. G.","non-dropping-particle":"","parse-names":false,"suffix":""},{"dropping-particle":"","family":"Essery","given":"R. L. H.","non-dropping-particle":"","parse-names":false,"suffix":""},{"dropping-particle":"","family":"Blyth","given":"E.","non-dropping-particle":"","parse-names":false,"suffix":""},{"dropping-particle":"","family":"Boucher","given":"O.","non-dropping-particle":"","parse-names":false,"suffix":""},{"dropping-particle":"","family":"Harding","given":"R. J.","non-dropping-particle":"","parse-names":false,"suffix":""},{"dropping-particle":"","family":"Cox","given":"P. M.","non-dropping-particle":"","parse-names":false,"suffix":""}],"container-title":"Geoscientific Model Development Discussions","id":"ITEM-1","issue":"1","issued":{"date-parts":[["2011"]]},"page":"641-688","title":"The Joint UK Land Environment Simulator (JULES), Model description – Part 2: Carbon fluxes and vegetation","type":"article-journal","volume":"4"},"uris":["http://www.mendeley.com/documents/?uuid=c9fc1111-8dce-4e52-8b53-675254925d08"]}],"mendeley":{"formattedCitation":"[2]","plainTextFormattedCitation":"[2]","previouslyFormattedCitation":"[2]"},"properties":{"noteIndex":0},"schema":"https://github.com/citation-style-language/schema/raw/master/csl-citation.json"}</w:instrText>
            </w:r>
            <w:r>
              <w:rPr>
                <w:szCs w:val="24"/>
              </w:rPr>
              <w:fldChar w:fldCharType="separate"/>
            </w:r>
            <w:r w:rsidRPr="00B853CB">
              <w:rPr>
                <w:noProof/>
                <w:szCs w:val="24"/>
              </w:rPr>
              <w:t>[2]</w:t>
            </w:r>
            <w:r>
              <w:rPr>
                <w:szCs w:val="24"/>
              </w:rPr>
              <w:fldChar w:fldCharType="end"/>
            </w:r>
          </w:p>
        </w:tc>
      </w:tr>
      <w:tr w:rsidR="00B853CB" w:rsidRPr="0071509E" w14:paraId="3516AAC5" w14:textId="76BB85ED" w:rsidTr="00E344A9">
        <w:trPr>
          <w:jc w:val="center"/>
        </w:trPr>
        <w:tc>
          <w:tcPr>
            <w:tcW w:w="1005" w:type="dxa"/>
          </w:tcPr>
          <w:p w14:paraId="3516AAC2" w14:textId="77777777" w:rsidR="00B853CB" w:rsidRPr="0071509E" w:rsidRDefault="00B853CB" w:rsidP="00E07064">
            <w:pPr>
              <w:spacing w:line="360" w:lineRule="auto"/>
              <w:jc w:val="both"/>
              <w:rPr>
                <w:szCs w:val="24"/>
                <w:lang w:val="en-GB"/>
              </w:rPr>
            </w:pPr>
            <w:r w:rsidRPr="0071509E">
              <w:rPr>
                <w:i/>
                <w:iCs/>
                <w:szCs w:val="24"/>
              </w:rPr>
              <w:t>V</w:t>
            </w:r>
            <w:r w:rsidRPr="0071509E">
              <w:rPr>
                <w:szCs w:val="24"/>
                <w:vertAlign w:val="subscript"/>
              </w:rPr>
              <w:t>cmax25</w:t>
            </w:r>
          </w:p>
        </w:tc>
        <w:tc>
          <w:tcPr>
            <w:tcW w:w="1547" w:type="dxa"/>
            <w:vMerge/>
          </w:tcPr>
          <w:p w14:paraId="3516AAC3" w14:textId="77777777" w:rsidR="00B853CB" w:rsidRPr="0071509E" w:rsidRDefault="00B853CB" w:rsidP="00E07064">
            <w:pPr>
              <w:spacing w:line="360" w:lineRule="auto"/>
              <w:jc w:val="center"/>
              <w:rPr>
                <w:szCs w:val="24"/>
                <w:lang w:val="en-GB"/>
              </w:rPr>
            </w:pPr>
          </w:p>
        </w:tc>
        <w:tc>
          <w:tcPr>
            <w:tcW w:w="2128" w:type="dxa"/>
          </w:tcPr>
          <w:p w14:paraId="3516AAC4" w14:textId="77777777" w:rsidR="00B853CB" w:rsidRPr="0071509E" w:rsidRDefault="00B853CB" w:rsidP="00E07064">
            <w:pPr>
              <w:spacing w:line="360" w:lineRule="auto"/>
              <w:jc w:val="both"/>
              <w:rPr>
                <w:szCs w:val="24"/>
                <w:lang w:val="en-GB"/>
              </w:rPr>
            </w:pPr>
            <w:r w:rsidRPr="0071509E">
              <w:rPr>
                <w:szCs w:val="24"/>
              </w:rPr>
              <w:t>mol m</w:t>
            </w:r>
            <w:r w:rsidRPr="0071509E">
              <w:rPr>
                <w:szCs w:val="24"/>
                <w:vertAlign w:val="superscript"/>
              </w:rPr>
              <w:t>-2</w:t>
            </w:r>
            <w:r w:rsidRPr="0071509E">
              <w:rPr>
                <w:szCs w:val="24"/>
              </w:rPr>
              <w:t xml:space="preserve"> s</w:t>
            </w:r>
            <w:r w:rsidRPr="0071509E">
              <w:rPr>
                <w:szCs w:val="24"/>
                <w:vertAlign w:val="superscript"/>
              </w:rPr>
              <w:t>-1</w:t>
            </w:r>
          </w:p>
        </w:tc>
        <w:tc>
          <w:tcPr>
            <w:tcW w:w="1800" w:type="dxa"/>
          </w:tcPr>
          <w:p w14:paraId="130DBE73" w14:textId="45E471A0" w:rsidR="00B853CB" w:rsidRPr="0071509E" w:rsidRDefault="00B853CB" w:rsidP="00E07064">
            <w:pPr>
              <w:spacing w:line="360" w:lineRule="auto"/>
              <w:jc w:val="both"/>
              <w:rPr>
                <w:szCs w:val="24"/>
              </w:rPr>
            </w:pPr>
            <w:r>
              <w:rPr>
                <w:szCs w:val="24"/>
              </w:rPr>
              <w:fldChar w:fldCharType="begin" w:fldLock="1"/>
            </w:r>
            <w:r w:rsidR="009C423F">
              <w:rPr>
                <w:szCs w:val="24"/>
              </w:rPr>
              <w:instrText>ADDIN CSL_CITATION {"citationItems":[{"id":"ITEM-1","itemData":{"DOI":"10.1111/gcb.13035","ISBN":"1365-2486","ISSN":"13652486","PMID":"26179437","abstract":"Determining climate change feedbacks from tropical rainforests requires an understanding of how carbon gain through photosynthesis and loss through respiration will be altered. One of the key changes that tropical rainforests may experience under future climate change scenarios is reduced soil moisture availability. In this study we examine if and how both leaf photosynthesis and leaf dark respiration acclimate following more than 12 years of experimental soil moisture deficit, via a through-fall exclusion experiment (TFE) in an eastern Amazonian rainforest. We find that experimentally drought-stressed trees and taxa maintain the same maximum leaf photosynthetic capacity as trees in corresponding control forest, independent of their susceptibility to drought-induced mortality. We hypothesize that photosynthetic capacity is maintained across all treatments and taxa to take advantage of short-lived periods of high moisture availability, when stomatal conductance (gs ) and photosynthesis can increase rapidly, potentially compensating for reduced assimilate supply at other times. Average leaf dark respiration (Rd ) was elevated in the TFE-treated forest trees relative to the control by 28.2 ± 2.8% (mean ± one standard error). This mean Rd value was dominated by a 48.5 ± 3.6% increase in the Rd of drought-sensitive taxa, and likely reflects the need for additional metabolic support required for stress-related repair, and hydraulic or osmotic maintenance processes. Following soil moisture deficit that is maintained for several years, our data suggest that changes in respiration drive greater shifts in the canopy carbon balance, than changes in photosynthetic capacity.","author":[{"dropping-particle":"","family":"Rowland","given":"Lucy","non-dropping-particle":"","parse-names":false,"suffix":""},{"dropping-particle":"","family":"Lobo-do-Vale","given":"Raquel L.","non-dropping-particle":"","parse-names":false,"suffix":""},{"dropping-particle":"","family":"Christoffersen","given":"Bradley O.","non-dropping-particle":"","parse-names":false,"suffix":""},{"dropping-particle":"","family":"Melém","given":"Eliane A.","non-dropping-particle":"","parse-names":false,"suffix":""},{"dropping-particle":"","family":"Kruijt","given":"Bart","non-dropping-particle":"","parse-names":false,"suffix":""},{"dropping-particle":"","family":"Vasconcelos","given":"Steel S.","non-dropping-particle":"","parse-names":false,"suffix":""},{"dropping-particle":"","family":"Domingues","given":"Tomas","non-dropping-particle":"","parse-names":false,"suffix":""},{"dropping-particle":"","family":"Binks","given":"Oliver J.","non-dropping-particle":"","parse-names":false,"suffix":""},{"dropping-particle":"","family":"Oliveira","given":"Alex A.R.","non-dropping-particle":"","parse-names":false,"suffix":""},{"dropping-particle":"","family":"Metcalfe","given":"Daniel","non-dropping-particle":"","parse-names":false,"suffix":""},{"dropping-particle":"","family":"Costa","given":"Antonio C.L.","non-dropping-particle":"da","parse-names":false,"suffix":""},{"dropping-particle":"","family":"Mencuccini","given":"Maurizio","non-dropping-particle":"","parse-names":false,"suffix":""},{"dropping-particle":"","family":"Meir","given":"Patrick","non-dropping-particle":"","parse-names":false,"suffix":""}],"container-title":"Global Change Biology","id":"ITEM-1","issue":"12","issued":{"date-parts":[["2015"]]},"page":"4662-4672","title":"After more than a decade of soil moisture deficit, tropical rainforest trees maintain photosynthetic capacity, despite increased leaf respiration","type":"article-journal","volume":"21"},"uris":["http://www.mendeley.com/documents/?uuid=9ca09bb5-09f6-4d4f-b92c-3f2016869968"]}],"mendeley":{"formattedCitation":"[13]","plainTextFormattedCitation":"[13]","previouslyFormattedCitation":"[13]"},"properties":{"noteIndex":0},"schema":"https://github.com/citation-style-language/schema/raw/master/csl-citation.json"}</w:instrText>
            </w:r>
            <w:r>
              <w:rPr>
                <w:szCs w:val="24"/>
              </w:rPr>
              <w:fldChar w:fldCharType="separate"/>
            </w:r>
            <w:r w:rsidR="000E01C5" w:rsidRPr="000E01C5">
              <w:rPr>
                <w:noProof/>
                <w:szCs w:val="24"/>
              </w:rPr>
              <w:t>[13]</w:t>
            </w:r>
            <w:r>
              <w:rPr>
                <w:szCs w:val="24"/>
              </w:rPr>
              <w:fldChar w:fldCharType="end"/>
            </w:r>
          </w:p>
        </w:tc>
      </w:tr>
      <w:tr w:rsidR="00B853CB" w:rsidRPr="0071509E" w14:paraId="3516AAC9" w14:textId="5D2ED40A" w:rsidTr="00E344A9">
        <w:trPr>
          <w:jc w:val="center"/>
        </w:trPr>
        <w:tc>
          <w:tcPr>
            <w:tcW w:w="1005" w:type="dxa"/>
          </w:tcPr>
          <w:p w14:paraId="3516AAC6" w14:textId="77777777" w:rsidR="00B853CB" w:rsidRPr="0071509E" w:rsidRDefault="00B853CB" w:rsidP="00E07064">
            <w:pPr>
              <w:spacing w:line="360" w:lineRule="auto"/>
              <w:jc w:val="both"/>
              <w:rPr>
                <w:szCs w:val="24"/>
                <w:lang w:val="en-GB"/>
              </w:rPr>
            </w:pPr>
            <w:proofErr w:type="spellStart"/>
            <w:r w:rsidRPr="0071509E">
              <w:rPr>
                <w:i/>
                <w:iCs/>
                <w:szCs w:val="24"/>
              </w:rPr>
              <w:t>T</w:t>
            </w:r>
            <w:r w:rsidRPr="0071509E">
              <w:rPr>
                <w:szCs w:val="24"/>
                <w:vertAlign w:val="subscript"/>
              </w:rPr>
              <w:t>upp</w:t>
            </w:r>
            <w:proofErr w:type="spellEnd"/>
          </w:p>
        </w:tc>
        <w:tc>
          <w:tcPr>
            <w:tcW w:w="1547" w:type="dxa"/>
            <w:vMerge/>
          </w:tcPr>
          <w:p w14:paraId="3516AAC7" w14:textId="77777777" w:rsidR="00B853CB" w:rsidRPr="0071509E" w:rsidRDefault="00B853CB" w:rsidP="00E07064">
            <w:pPr>
              <w:spacing w:line="360" w:lineRule="auto"/>
              <w:jc w:val="center"/>
              <w:rPr>
                <w:szCs w:val="24"/>
                <w:lang w:val="en-GB"/>
              </w:rPr>
            </w:pPr>
          </w:p>
        </w:tc>
        <w:tc>
          <w:tcPr>
            <w:tcW w:w="2128" w:type="dxa"/>
          </w:tcPr>
          <w:p w14:paraId="3516AAC8" w14:textId="77777777" w:rsidR="00B853CB" w:rsidRPr="0071509E" w:rsidRDefault="00B853CB" w:rsidP="00E07064">
            <w:pPr>
              <w:spacing w:line="360" w:lineRule="auto"/>
              <w:jc w:val="both"/>
              <w:rPr>
                <w:szCs w:val="24"/>
                <w:lang w:val="en-GB"/>
              </w:rPr>
            </w:pPr>
            <w:r w:rsidRPr="0071509E">
              <w:rPr>
                <w:szCs w:val="24"/>
              </w:rPr>
              <w:t>°C</w:t>
            </w:r>
          </w:p>
        </w:tc>
        <w:tc>
          <w:tcPr>
            <w:tcW w:w="1800" w:type="dxa"/>
          </w:tcPr>
          <w:p w14:paraId="6889766C" w14:textId="48C0FF30" w:rsidR="00B853CB" w:rsidRPr="0071509E" w:rsidRDefault="00B853CB" w:rsidP="00E07064">
            <w:pPr>
              <w:spacing w:line="360" w:lineRule="auto"/>
              <w:jc w:val="both"/>
              <w:rPr>
                <w:szCs w:val="24"/>
              </w:rPr>
            </w:pPr>
            <w:r>
              <w:rPr>
                <w:szCs w:val="24"/>
              </w:rPr>
              <w:fldChar w:fldCharType="begin" w:fldLock="1"/>
            </w:r>
            <w:r w:rsidR="009C423F">
              <w:rPr>
                <w:szCs w:val="24"/>
              </w:rPr>
              <w:instrText>ADDIN CSL_CITATION {"citationItems":[{"id":"ITEM-1","itemData":{"DOI":"10.5194/gmd-9-2415-2016","ISSN":"19919603","abstract":"&lt;p&gt;Dynamic global vegetation models are used to predict the response of vegetation to climate change. They are essential for planning ecosystem management, understanding carbon cycleclimate feedbacks, and evaluating the potential impacts of climate change on global ecosystems. JULES (the Joint UK Land Environment Simulator) represents terrestrial processes in the UK Hadley Centre family of models and in the first generation UK Earth System Model. Previously, JULES represented five plant functional types (PFTs): broadleaf trees, needle-leaf trees, C&lt;sub&gt;3&lt;/sub&gt; and C&lt;sub&gt;4&lt;/sub&gt; grasses, and shrubs. This study addresses three developments in JULES. First, trees and shrubs were split into deciduous and evergreen PFTs to better represent the range of leaf lifespans and metabolic capacities that exists in nature. Second, we distinguished between temperate and tropical broadleaf evergreen trees. These first two changes result in a new set of nine PFTs: tropical and temperate broadleaf evergreen trees, broadleaf deciduous trees, needle-leaf evergreen and deciduous trees, C&lt;sub&gt;3&lt;/sub&gt; and C&lt;sub&gt;4&lt;/sub&gt; grasses, and evergreen and deciduous shrubs. Third, using data from the TRY database, we updated the relationship between leaf nitrogen and the maximum rate of carboxylation of Rubisco (&lt;i&gt;V&lt;/i&gt;&lt;sub&gt;cmax&lt;/sub&gt;), and updated the model phenology to include a trade-off between leaf lifespan and leaf mass per unit area.&lt;/p&gt;","author":[{"dropping-particle":"","family":"Harper","given":"Anna B.","non-dropping-particle":"","parse-names":false,"suffix":""},{"dropping-particle":"","family":"Cox","given":"Peter M.","non-dropping-particle":"","parse-names":false,"suffix":""},{"dropping-particle":"","family":"Friedlingstein","given":"Pierre","non-dropping-particle":"","parse-names":false,"suffix":""},{"dropping-particle":"","family":"Wiltshire","given":"Andy J.","non-dropping-particle":"","parse-names":false,"suffix":""},{"dropping-particle":"","family":"Jones","given":"Chris D.","non-dropping-particle":"","parse-names":false,"suffix":""},{"dropping-particle":"","family":"Sitch","given":"Stephen","non-dropping-particle":"","parse-names":false,"suffix":""},{"dropping-particle":"","family":"Mercado","given":"Lina M.","non-dropping-particle":"","parse-names":false,"suffix":""},{"dropping-particle":"","family":"Groenendijk","given":"Margriet","non-dropping-particle":"","parse-names":false,"suffix":""},{"dropping-particle":"","family":"Robertson","given":"Eddy","non-dropping-particle":"","parse-names":false,"suffix":""},{"dropping-particle":"","family":"Kattge","given":"Jens","non-dropping-particle":"","parse-names":false,"suffix":""},{"dropping-particle":"","family":"Bönisch","given":"Gerhard","non-dropping-particle":"","parse-names":false,"suffix":""},{"dropping-particle":"","family":"Atkin","given":"Owen K.","non-dropping-particle":"","parse-names":false,"suffix":""},{"dropping-particle":"","family":"Bahn","given":"Michael","non-dropping-particle":"","parse-names":false,"suffix":""},{"dropping-particle":"","family":"Cornelissen","given":"Johannes","non-dropping-particle":"","parse-names":false,"suffix":""},{"dropping-particle":"","family":"Niinemets","given":"Ülo","non-dropping-particle":"","parse-names":false,"suffix":""},{"dropping-particle":"","family":"Onipchenko","given":"Vladimir","non-dropping-particle":"","parse-names":false,"suffix":""},{"dropping-particle":"","family":"Peñuelas","given":"Josep","non-dropping-particle":"","parse-names":false,"suffix":""},{"dropping-particle":"","family":"Poorter","given":"Lourens","non-dropping-particle":"","parse-names":false,"suffix":""},{"dropping-particle":"","family":"Reich","given":"Peter B.","non-dropping-particle":"","parse-names":false,"suffix":""},{"dropping-particle":"","family":"Soudzilovskaia","given":"Nadjeda A.","non-dropping-particle":"","parse-names":false,"suffix":""},{"dropping-particle":"","family":"Bodegom","given":"Peter","non-dropping-particle":"Van","parse-names":false,"suffix":""}],"container-title":"Geoscientific Model Development","id":"ITEM-1","issue":"7","issued":{"date-parts":[["2016"]]},"page":"2415-2440","title":"Improved representation of plant functional types and physiology in the Joint UK Land Environment Simulator (JULES v4.2) using plant trait information","type":"article-journal","volume":"9"},"uris":["http://www.mendeley.com/documents/?uuid=af35938a-df44-42ef-8412-db2f97149796"]}],"mendeley":{"formattedCitation":"[14]","plainTextFormattedCitation":"[14]","previouslyFormattedCitation":"[14]"},"properties":{"noteIndex":0},"schema":"https://github.com/citation-style-language/schema/raw/master/csl-citation.json"}</w:instrText>
            </w:r>
            <w:r>
              <w:rPr>
                <w:szCs w:val="24"/>
              </w:rPr>
              <w:fldChar w:fldCharType="separate"/>
            </w:r>
            <w:r w:rsidR="000E01C5" w:rsidRPr="000E01C5">
              <w:rPr>
                <w:noProof/>
                <w:szCs w:val="24"/>
              </w:rPr>
              <w:t>[14]</w:t>
            </w:r>
            <w:r>
              <w:rPr>
                <w:szCs w:val="24"/>
              </w:rPr>
              <w:fldChar w:fldCharType="end"/>
            </w:r>
          </w:p>
        </w:tc>
      </w:tr>
      <w:tr w:rsidR="00B853CB" w:rsidRPr="0071509E" w14:paraId="3516AACD" w14:textId="32E1EAA3" w:rsidTr="00E344A9">
        <w:trPr>
          <w:jc w:val="center"/>
        </w:trPr>
        <w:tc>
          <w:tcPr>
            <w:tcW w:w="1005" w:type="dxa"/>
          </w:tcPr>
          <w:p w14:paraId="3516AACA" w14:textId="77777777" w:rsidR="00B853CB" w:rsidRPr="0071509E" w:rsidRDefault="00B853CB" w:rsidP="00E07064">
            <w:pPr>
              <w:spacing w:line="360" w:lineRule="auto"/>
              <w:jc w:val="both"/>
              <w:rPr>
                <w:szCs w:val="24"/>
                <w:lang w:val="en-GB"/>
              </w:rPr>
            </w:pPr>
            <w:proofErr w:type="spellStart"/>
            <w:r w:rsidRPr="0071509E">
              <w:rPr>
                <w:i/>
                <w:iCs/>
                <w:szCs w:val="24"/>
              </w:rPr>
              <w:t>T</w:t>
            </w:r>
            <w:r w:rsidRPr="0071509E">
              <w:rPr>
                <w:szCs w:val="24"/>
                <w:vertAlign w:val="subscript"/>
              </w:rPr>
              <w:t>low</w:t>
            </w:r>
            <w:proofErr w:type="spellEnd"/>
          </w:p>
        </w:tc>
        <w:tc>
          <w:tcPr>
            <w:tcW w:w="1547" w:type="dxa"/>
            <w:vMerge/>
          </w:tcPr>
          <w:p w14:paraId="3516AACB" w14:textId="77777777" w:rsidR="00B853CB" w:rsidRPr="0071509E" w:rsidRDefault="00B853CB" w:rsidP="00E07064">
            <w:pPr>
              <w:spacing w:line="360" w:lineRule="auto"/>
              <w:jc w:val="center"/>
              <w:rPr>
                <w:szCs w:val="24"/>
                <w:lang w:val="en-GB"/>
              </w:rPr>
            </w:pPr>
          </w:p>
        </w:tc>
        <w:tc>
          <w:tcPr>
            <w:tcW w:w="2128" w:type="dxa"/>
          </w:tcPr>
          <w:p w14:paraId="3516AACC" w14:textId="77777777" w:rsidR="00B853CB" w:rsidRPr="0071509E" w:rsidRDefault="00B853CB" w:rsidP="00E07064">
            <w:pPr>
              <w:spacing w:line="360" w:lineRule="auto"/>
              <w:jc w:val="both"/>
              <w:rPr>
                <w:szCs w:val="24"/>
                <w:lang w:val="en-GB"/>
              </w:rPr>
            </w:pPr>
            <w:r w:rsidRPr="0071509E">
              <w:rPr>
                <w:szCs w:val="24"/>
              </w:rPr>
              <w:t>°C</w:t>
            </w:r>
          </w:p>
        </w:tc>
        <w:tc>
          <w:tcPr>
            <w:tcW w:w="1800" w:type="dxa"/>
          </w:tcPr>
          <w:p w14:paraId="1FF3331A" w14:textId="749CF85D" w:rsidR="00B853CB" w:rsidRPr="0071509E" w:rsidRDefault="00583CB0" w:rsidP="00E07064">
            <w:pPr>
              <w:spacing w:line="360" w:lineRule="auto"/>
              <w:jc w:val="both"/>
              <w:rPr>
                <w:szCs w:val="24"/>
              </w:rPr>
            </w:pPr>
            <w:r>
              <w:rPr>
                <w:szCs w:val="24"/>
              </w:rPr>
              <w:t>[7]</w:t>
            </w:r>
          </w:p>
        </w:tc>
      </w:tr>
      <w:tr w:rsidR="00B853CB" w:rsidRPr="0071509E" w14:paraId="3516AAD1" w14:textId="1F32CD77" w:rsidTr="00E344A9">
        <w:trPr>
          <w:jc w:val="center"/>
        </w:trPr>
        <w:tc>
          <w:tcPr>
            <w:tcW w:w="1005" w:type="dxa"/>
          </w:tcPr>
          <w:p w14:paraId="3516AACE" w14:textId="77777777" w:rsidR="00B853CB" w:rsidRPr="0071509E" w:rsidRDefault="00B853CB" w:rsidP="00E07064">
            <w:pPr>
              <w:spacing w:line="360" w:lineRule="auto"/>
              <w:jc w:val="both"/>
              <w:rPr>
                <w:szCs w:val="24"/>
                <w:lang w:val="en-GB"/>
              </w:rPr>
            </w:pPr>
            <w:r w:rsidRPr="0071509E">
              <w:rPr>
                <w:szCs w:val="24"/>
              </w:rPr>
              <w:t>α</w:t>
            </w:r>
          </w:p>
        </w:tc>
        <w:tc>
          <w:tcPr>
            <w:tcW w:w="1547" w:type="dxa"/>
            <w:vMerge/>
          </w:tcPr>
          <w:p w14:paraId="3516AACF" w14:textId="77777777" w:rsidR="00B853CB" w:rsidRPr="0071509E" w:rsidRDefault="00B853CB" w:rsidP="00E07064">
            <w:pPr>
              <w:spacing w:line="360" w:lineRule="auto"/>
              <w:jc w:val="center"/>
              <w:rPr>
                <w:szCs w:val="24"/>
                <w:lang w:val="en-GB"/>
              </w:rPr>
            </w:pPr>
          </w:p>
        </w:tc>
        <w:tc>
          <w:tcPr>
            <w:tcW w:w="2128" w:type="dxa"/>
          </w:tcPr>
          <w:p w14:paraId="3516AAD0" w14:textId="77777777" w:rsidR="00B853CB" w:rsidRPr="0071509E" w:rsidRDefault="00B853CB" w:rsidP="00E07064">
            <w:pPr>
              <w:spacing w:line="360" w:lineRule="auto"/>
              <w:jc w:val="both"/>
              <w:rPr>
                <w:szCs w:val="24"/>
                <w:lang w:val="en-GB"/>
              </w:rPr>
            </w:pPr>
            <w:r w:rsidRPr="0071509E">
              <w:rPr>
                <w:szCs w:val="24"/>
              </w:rPr>
              <w:t>mol mol</w:t>
            </w:r>
            <w:r w:rsidRPr="0071509E">
              <w:rPr>
                <w:szCs w:val="24"/>
                <w:vertAlign w:val="superscript"/>
              </w:rPr>
              <w:t>-1</w:t>
            </w:r>
          </w:p>
        </w:tc>
        <w:tc>
          <w:tcPr>
            <w:tcW w:w="1800" w:type="dxa"/>
          </w:tcPr>
          <w:p w14:paraId="7B011602" w14:textId="17BD0570" w:rsidR="00B853CB" w:rsidRPr="0071509E" w:rsidRDefault="00583CB0" w:rsidP="00E07064">
            <w:pPr>
              <w:spacing w:line="360" w:lineRule="auto"/>
              <w:jc w:val="both"/>
              <w:rPr>
                <w:szCs w:val="24"/>
              </w:rPr>
            </w:pPr>
            <w:r>
              <w:rPr>
                <w:szCs w:val="24"/>
              </w:rPr>
              <w:t>[7]</w:t>
            </w:r>
          </w:p>
        </w:tc>
      </w:tr>
      <w:tr w:rsidR="00B853CB" w:rsidRPr="0071509E" w14:paraId="3516AAD5" w14:textId="68827307" w:rsidTr="00E344A9">
        <w:trPr>
          <w:jc w:val="center"/>
        </w:trPr>
        <w:tc>
          <w:tcPr>
            <w:tcW w:w="1005" w:type="dxa"/>
          </w:tcPr>
          <w:p w14:paraId="3516AAD2" w14:textId="77777777" w:rsidR="00B853CB" w:rsidRPr="0071509E" w:rsidRDefault="00B853CB" w:rsidP="00893057">
            <w:pPr>
              <w:spacing w:line="360" w:lineRule="auto"/>
              <w:jc w:val="both"/>
              <w:rPr>
                <w:i/>
                <w:iCs/>
                <w:szCs w:val="24"/>
                <w:lang w:val="en-GB"/>
              </w:rPr>
            </w:pPr>
            <w:proofErr w:type="spellStart"/>
            <w:r w:rsidRPr="0071509E">
              <w:rPr>
                <w:i/>
                <w:iCs/>
                <w:szCs w:val="24"/>
              </w:rPr>
              <w:t>K</w:t>
            </w:r>
            <w:r w:rsidRPr="0071509E">
              <w:rPr>
                <w:szCs w:val="24"/>
                <w:vertAlign w:val="subscript"/>
              </w:rPr>
              <w:t>x,max</w:t>
            </w:r>
            <w:proofErr w:type="spellEnd"/>
          </w:p>
        </w:tc>
        <w:tc>
          <w:tcPr>
            <w:tcW w:w="1547" w:type="dxa"/>
            <w:vMerge/>
          </w:tcPr>
          <w:p w14:paraId="3516AAD3" w14:textId="77777777" w:rsidR="00B853CB" w:rsidRPr="0071509E" w:rsidRDefault="00B853CB" w:rsidP="00893057">
            <w:pPr>
              <w:spacing w:line="360" w:lineRule="auto"/>
              <w:jc w:val="center"/>
              <w:rPr>
                <w:szCs w:val="24"/>
                <w:lang w:val="en-GB"/>
              </w:rPr>
            </w:pPr>
          </w:p>
        </w:tc>
        <w:tc>
          <w:tcPr>
            <w:tcW w:w="2128" w:type="dxa"/>
          </w:tcPr>
          <w:p w14:paraId="3516AAD4" w14:textId="77777777" w:rsidR="00B853CB" w:rsidRPr="0071509E" w:rsidRDefault="00B853CB" w:rsidP="00893057">
            <w:pPr>
              <w:spacing w:line="360" w:lineRule="auto"/>
              <w:jc w:val="both"/>
              <w:rPr>
                <w:szCs w:val="24"/>
                <w:lang w:val="en-GB"/>
              </w:rPr>
            </w:pPr>
            <w:r w:rsidRPr="0071509E">
              <w:rPr>
                <w:szCs w:val="24"/>
              </w:rPr>
              <w:t>mol m</w:t>
            </w:r>
            <w:r w:rsidRPr="0071509E">
              <w:rPr>
                <w:szCs w:val="24"/>
                <w:vertAlign w:val="superscript"/>
              </w:rPr>
              <w:t>-1</w:t>
            </w:r>
            <w:r w:rsidRPr="0071509E">
              <w:rPr>
                <w:szCs w:val="24"/>
              </w:rPr>
              <w:t xml:space="preserve"> s</w:t>
            </w:r>
            <w:r w:rsidRPr="0071509E">
              <w:rPr>
                <w:szCs w:val="24"/>
                <w:vertAlign w:val="superscript"/>
              </w:rPr>
              <w:t>-1</w:t>
            </w:r>
            <w:r w:rsidRPr="0071509E">
              <w:rPr>
                <w:szCs w:val="24"/>
              </w:rPr>
              <w:t xml:space="preserve"> MPa</w:t>
            </w:r>
            <w:r w:rsidRPr="0071509E">
              <w:rPr>
                <w:szCs w:val="24"/>
                <w:vertAlign w:val="superscript"/>
              </w:rPr>
              <w:t>-1</w:t>
            </w:r>
          </w:p>
        </w:tc>
        <w:tc>
          <w:tcPr>
            <w:tcW w:w="1800" w:type="dxa"/>
          </w:tcPr>
          <w:p w14:paraId="6F83CD39" w14:textId="4F54708D" w:rsidR="00B853CB" w:rsidRPr="0071509E" w:rsidRDefault="00276E56" w:rsidP="00893057">
            <w:pPr>
              <w:spacing w:line="360" w:lineRule="auto"/>
              <w:jc w:val="both"/>
              <w:rPr>
                <w:szCs w:val="24"/>
              </w:rPr>
            </w:pPr>
            <w:r>
              <w:rPr>
                <w:szCs w:val="24"/>
              </w:rPr>
              <w:t>Measured</w:t>
            </w:r>
          </w:p>
        </w:tc>
      </w:tr>
      <w:tr w:rsidR="00B853CB" w:rsidRPr="0071509E" w14:paraId="3516AAD9" w14:textId="5CAE348F" w:rsidTr="00E344A9">
        <w:trPr>
          <w:jc w:val="center"/>
        </w:trPr>
        <w:tc>
          <w:tcPr>
            <w:tcW w:w="1005" w:type="dxa"/>
          </w:tcPr>
          <w:p w14:paraId="3516AAD6" w14:textId="77777777" w:rsidR="00B853CB" w:rsidRPr="0071509E" w:rsidRDefault="00B853CB" w:rsidP="00893057">
            <w:pPr>
              <w:spacing w:line="360" w:lineRule="auto"/>
              <w:jc w:val="both"/>
              <w:rPr>
                <w:i/>
                <w:iCs/>
                <w:szCs w:val="24"/>
                <w:lang w:val="en-GB"/>
              </w:rPr>
            </w:pPr>
            <w:proofErr w:type="spellStart"/>
            <w:r w:rsidRPr="0071509E">
              <w:rPr>
                <w:i/>
                <w:iCs/>
                <w:szCs w:val="24"/>
              </w:rPr>
              <w:t>h</w:t>
            </w:r>
            <w:r w:rsidRPr="0071509E">
              <w:rPr>
                <w:szCs w:val="24"/>
                <w:vertAlign w:val="subscript"/>
              </w:rPr>
              <w:t>v</w:t>
            </w:r>
            <w:proofErr w:type="spellEnd"/>
          </w:p>
        </w:tc>
        <w:tc>
          <w:tcPr>
            <w:tcW w:w="1547" w:type="dxa"/>
            <w:vMerge/>
          </w:tcPr>
          <w:p w14:paraId="3516AAD7" w14:textId="77777777" w:rsidR="00B853CB" w:rsidRPr="0071509E" w:rsidRDefault="00B853CB" w:rsidP="00893057">
            <w:pPr>
              <w:spacing w:line="360" w:lineRule="auto"/>
              <w:jc w:val="center"/>
              <w:rPr>
                <w:szCs w:val="24"/>
                <w:lang w:val="en-GB"/>
              </w:rPr>
            </w:pPr>
          </w:p>
        </w:tc>
        <w:tc>
          <w:tcPr>
            <w:tcW w:w="2128" w:type="dxa"/>
          </w:tcPr>
          <w:p w14:paraId="3516AAD8" w14:textId="54D489D4" w:rsidR="00B853CB" w:rsidRPr="0071509E" w:rsidRDefault="00B853CB" w:rsidP="00893057">
            <w:pPr>
              <w:spacing w:line="360" w:lineRule="auto"/>
              <w:jc w:val="both"/>
              <w:rPr>
                <w:szCs w:val="24"/>
                <w:lang w:val="en-GB"/>
              </w:rPr>
            </w:pPr>
            <w:r w:rsidRPr="0071509E">
              <w:rPr>
                <w:szCs w:val="24"/>
              </w:rPr>
              <w:t>m</w:t>
            </w:r>
            <w:r w:rsidRPr="0071509E">
              <w:rPr>
                <w:szCs w:val="24"/>
                <w:vertAlign w:val="superscript"/>
              </w:rPr>
              <w:t>2</w:t>
            </w:r>
            <w:r w:rsidRPr="0071509E">
              <w:rPr>
                <w:szCs w:val="24"/>
              </w:rPr>
              <w:t xml:space="preserve"> m</w:t>
            </w:r>
            <w:r w:rsidRPr="0071509E">
              <w:rPr>
                <w:szCs w:val="24"/>
                <w:vertAlign w:val="superscript"/>
              </w:rPr>
              <w:t>-2</w:t>
            </w:r>
          </w:p>
        </w:tc>
        <w:tc>
          <w:tcPr>
            <w:tcW w:w="1800" w:type="dxa"/>
          </w:tcPr>
          <w:p w14:paraId="22233F92" w14:textId="31E78948" w:rsidR="00B853CB" w:rsidRDefault="00276E56" w:rsidP="00893057">
            <w:pPr>
              <w:spacing w:line="360" w:lineRule="auto"/>
              <w:jc w:val="both"/>
              <w:rPr>
                <w:szCs w:val="24"/>
              </w:rPr>
            </w:pPr>
            <w:r>
              <w:rPr>
                <w:szCs w:val="24"/>
              </w:rPr>
              <w:t>Measured</w:t>
            </w:r>
          </w:p>
        </w:tc>
      </w:tr>
      <w:tr w:rsidR="00B853CB" w:rsidRPr="0071509E" w14:paraId="3516AADD" w14:textId="71439C13" w:rsidTr="00E344A9">
        <w:trPr>
          <w:jc w:val="center"/>
        </w:trPr>
        <w:tc>
          <w:tcPr>
            <w:tcW w:w="1005" w:type="dxa"/>
          </w:tcPr>
          <w:p w14:paraId="3516AADA" w14:textId="77777777" w:rsidR="00B853CB" w:rsidRPr="0071509E" w:rsidRDefault="00B853CB" w:rsidP="00893057">
            <w:pPr>
              <w:spacing w:line="360" w:lineRule="auto"/>
              <w:jc w:val="both"/>
              <w:rPr>
                <w:i/>
                <w:iCs/>
                <w:szCs w:val="24"/>
                <w:lang w:val="en-GB"/>
              </w:rPr>
            </w:pPr>
            <w:r w:rsidRPr="0071509E">
              <w:rPr>
                <w:i/>
                <w:iCs/>
                <w:szCs w:val="24"/>
              </w:rPr>
              <w:t>h</w:t>
            </w:r>
          </w:p>
        </w:tc>
        <w:tc>
          <w:tcPr>
            <w:tcW w:w="1547" w:type="dxa"/>
            <w:vMerge/>
          </w:tcPr>
          <w:p w14:paraId="3516AADB" w14:textId="77777777" w:rsidR="00B853CB" w:rsidRPr="0071509E" w:rsidRDefault="00B853CB" w:rsidP="00893057">
            <w:pPr>
              <w:spacing w:line="360" w:lineRule="auto"/>
              <w:jc w:val="center"/>
              <w:rPr>
                <w:szCs w:val="24"/>
                <w:lang w:val="en-GB"/>
              </w:rPr>
            </w:pPr>
          </w:p>
        </w:tc>
        <w:tc>
          <w:tcPr>
            <w:tcW w:w="2128" w:type="dxa"/>
          </w:tcPr>
          <w:p w14:paraId="3516AADC" w14:textId="77777777" w:rsidR="00B853CB" w:rsidRPr="0071509E" w:rsidRDefault="00B853CB" w:rsidP="00893057">
            <w:pPr>
              <w:spacing w:line="360" w:lineRule="auto"/>
              <w:jc w:val="both"/>
              <w:rPr>
                <w:szCs w:val="24"/>
                <w:lang w:val="en-GB"/>
              </w:rPr>
            </w:pPr>
            <w:r w:rsidRPr="0071509E">
              <w:rPr>
                <w:szCs w:val="24"/>
              </w:rPr>
              <w:t>m</w:t>
            </w:r>
          </w:p>
        </w:tc>
        <w:tc>
          <w:tcPr>
            <w:tcW w:w="1800" w:type="dxa"/>
          </w:tcPr>
          <w:p w14:paraId="49C76E07" w14:textId="39D20A64" w:rsidR="00B853CB" w:rsidRPr="0071509E" w:rsidRDefault="00583CB0" w:rsidP="00893057">
            <w:pPr>
              <w:spacing w:line="360" w:lineRule="auto"/>
              <w:jc w:val="both"/>
              <w:rPr>
                <w:szCs w:val="24"/>
              </w:rPr>
            </w:pPr>
            <w:r>
              <w:rPr>
                <w:szCs w:val="24"/>
              </w:rPr>
              <w:fldChar w:fldCharType="begin" w:fldLock="1"/>
            </w:r>
            <w:r w:rsidR="009C423F">
              <w:rPr>
                <w:szCs w:val="24"/>
              </w:rPr>
              <w:instrText>ADDIN CSL_CITATION {"citationItems":[{"id":"ITEM-1","itemData":{"DOI":"10.1111/j.1365-2486.2007.01417.x","ISBN":"1354-1013","ISSN":"13541013","abstract":"Warmer and drier climates over Eastern Amazonia have been predicted as a component of climate change during the next 50-100 years. It remains unclear what effect such changes will have on forest-atmosphere exchange of carbon dioxide (CO2) and water, but the cumulative effect is anticipated to produce climatic feedback at both regional and global scales. To allow more detailed study of forest responses to soil drying, a simulated soil drought or 'throughfall exclusion' (TFE) experiment was established at a rain forest site in Eastern Amazonia, Brazil, for which time-series sap flow and soil moisture data were obtained. The experiment excluded 50% of the throughfall from the soil. Sap flow data from the forest plot experiencing normal rainfall showed no limitation of transpiration throughout the two monitored dry seasons. Conversely, data from the TFE showed large dry season declines in transpiration, with tree water use restricted to 20% of that in the control plot at the peak of both dry seasons. The results were examined to evaluate the paradigm that the restriction on transpiration in the dry season was caused by limitation of soil-to-root water transport, driven by low soil water potential and high soilto- root hydraulic resistance. This paradigm, embedded in the soil-plant-atmosphere (SPA) model and driven using on-site measurements, provided a good explanation (R240.69) of the magnitude and timing of changes in sap flow and soil moisture. This model-data correspondence represents a substantial improvement compared with other ecosystem models of drought stress tested in Amazonia. Inclusion of deeper rooting should lead to lower sensitivity to drought than the majority of existing models. Modelled annual GPP declined by 13-14% in response to the treatment, compared with estimated declines in transpiration of 30-40%","author":[{"dropping-particle":"","family":"Fisher","given":"Rosie A.","non-dropping-particle":"","parse-names":false,"suffix":""},{"dropping-particle":"","family":"Williams","given":"M.","non-dropping-particle":"","parse-names":false,"suffix":""},{"dropping-particle":"","family":"Costa","given":"A. Lola","non-dropping-particle":"da","parse-names":false,"suffix":""},{"dropping-particle":"","family":"Malhi","given":"Y.","non-dropping-particle":"","parse-names":false,"suffix":""},{"dropping-particle":"","family":"Costa","given":"R. F.","non-dropping-particle":"da","parse-names":false,"suffix":""},{"dropping-particle":"","family":"Almeida","given":"S.","non-dropping-particle":"","parse-names":false,"suffix":""},{"dropping-particle":"","family":"Meir","given":"P.","non-dropping-particle":"","parse-names":false,"suffix":""}],"container-title":"Global Change Biology","id":"ITEM-1","issue":"11","issued":{"date-parts":[["2007"]]},"page":"2361-2378","title":"The response of an Eastern Amazonian rain forest to drought stress: Results and modelling analyses from a throughfall exclusion experiment","type":"article-journal","volume":"13"},"uris":["http://www.mendeley.com/documents/?uuid=007026a9-8fc3-4394-bbaa-bd874dd82e3e"]}],"mendeley":{"formattedCitation":"[15]","plainTextFormattedCitation":"[15]","previouslyFormattedCitation":"[15]"},"properties":{"noteIndex":0},"schema":"https://github.com/citation-style-language/schema/raw/master/csl-citation.json"}</w:instrText>
            </w:r>
            <w:r>
              <w:rPr>
                <w:szCs w:val="24"/>
              </w:rPr>
              <w:fldChar w:fldCharType="separate"/>
            </w:r>
            <w:r w:rsidR="000E01C5" w:rsidRPr="000E01C5">
              <w:rPr>
                <w:noProof/>
                <w:szCs w:val="24"/>
              </w:rPr>
              <w:t>[15]</w:t>
            </w:r>
            <w:r>
              <w:rPr>
                <w:szCs w:val="24"/>
              </w:rPr>
              <w:fldChar w:fldCharType="end"/>
            </w:r>
          </w:p>
        </w:tc>
      </w:tr>
      <w:tr w:rsidR="00B853CB" w:rsidRPr="0071509E" w14:paraId="3516AAF1" w14:textId="16C6D892" w:rsidTr="00E344A9">
        <w:trPr>
          <w:jc w:val="center"/>
        </w:trPr>
        <w:tc>
          <w:tcPr>
            <w:tcW w:w="1005" w:type="dxa"/>
          </w:tcPr>
          <w:p w14:paraId="3516AAEE" w14:textId="414AFEA8" w:rsidR="00B853CB" w:rsidRPr="0071509E" w:rsidRDefault="006D3019" w:rsidP="00893057">
            <w:pPr>
              <w:spacing w:line="360" w:lineRule="auto"/>
              <w:jc w:val="both"/>
              <w:rPr>
                <w:i/>
                <w:iCs/>
                <w:szCs w:val="24"/>
                <w:lang w:val="en-GB"/>
              </w:rPr>
            </w:pPr>
            <w:r>
              <w:rPr>
                <w:i/>
                <w:iCs/>
                <w:szCs w:val="24"/>
              </w:rPr>
              <w:t>Ψ</w:t>
            </w:r>
            <w:r w:rsidR="00B853CB" w:rsidRPr="0071509E">
              <w:rPr>
                <w:i/>
                <w:iCs/>
                <w:szCs w:val="24"/>
                <w:vertAlign w:val="subscript"/>
              </w:rPr>
              <w:t>50</w:t>
            </w:r>
          </w:p>
        </w:tc>
        <w:tc>
          <w:tcPr>
            <w:tcW w:w="1547" w:type="dxa"/>
            <w:vMerge/>
          </w:tcPr>
          <w:p w14:paraId="3516AAEF" w14:textId="77777777" w:rsidR="00B853CB" w:rsidRPr="0071509E" w:rsidRDefault="00B853CB" w:rsidP="00893057">
            <w:pPr>
              <w:spacing w:line="360" w:lineRule="auto"/>
              <w:jc w:val="center"/>
              <w:rPr>
                <w:szCs w:val="24"/>
                <w:lang w:val="en-GB"/>
              </w:rPr>
            </w:pPr>
          </w:p>
        </w:tc>
        <w:tc>
          <w:tcPr>
            <w:tcW w:w="2128" w:type="dxa"/>
          </w:tcPr>
          <w:p w14:paraId="3516AAF0" w14:textId="77777777" w:rsidR="00B853CB" w:rsidRPr="0071509E" w:rsidRDefault="00B853CB" w:rsidP="00893057">
            <w:pPr>
              <w:spacing w:line="360" w:lineRule="auto"/>
              <w:jc w:val="both"/>
              <w:rPr>
                <w:szCs w:val="24"/>
                <w:lang w:val="en-GB"/>
              </w:rPr>
            </w:pPr>
            <w:r w:rsidRPr="0071509E">
              <w:rPr>
                <w:szCs w:val="24"/>
              </w:rPr>
              <w:t>MPa</w:t>
            </w:r>
          </w:p>
        </w:tc>
        <w:tc>
          <w:tcPr>
            <w:tcW w:w="1800" w:type="dxa"/>
          </w:tcPr>
          <w:p w14:paraId="656F204B" w14:textId="03BD9592" w:rsidR="00B853CB" w:rsidRPr="0071509E" w:rsidRDefault="00276E56" w:rsidP="00893057">
            <w:pPr>
              <w:spacing w:line="360" w:lineRule="auto"/>
              <w:jc w:val="both"/>
              <w:rPr>
                <w:szCs w:val="24"/>
              </w:rPr>
            </w:pPr>
            <w:r>
              <w:rPr>
                <w:szCs w:val="24"/>
              </w:rPr>
              <w:t>Measured</w:t>
            </w:r>
          </w:p>
        </w:tc>
      </w:tr>
      <w:tr w:rsidR="00B853CB" w:rsidRPr="0071509E" w14:paraId="7B8BE661" w14:textId="7A9E4FC8" w:rsidTr="00E344A9">
        <w:trPr>
          <w:trHeight w:val="448"/>
          <w:jc w:val="center"/>
        </w:trPr>
        <w:tc>
          <w:tcPr>
            <w:tcW w:w="1005" w:type="dxa"/>
            <w:tcBorders>
              <w:bottom w:val="single" w:sz="4" w:space="0" w:color="auto"/>
            </w:tcBorders>
          </w:tcPr>
          <w:p w14:paraId="58305426" w14:textId="1EFE34DF" w:rsidR="00B853CB" w:rsidRPr="0071509E" w:rsidRDefault="00B853CB" w:rsidP="00893057">
            <w:pPr>
              <w:spacing w:line="360" w:lineRule="auto"/>
              <w:jc w:val="both"/>
              <w:rPr>
                <w:i/>
                <w:iCs/>
                <w:szCs w:val="24"/>
              </w:rPr>
            </w:pPr>
            <w:r>
              <w:rPr>
                <w:i/>
                <w:iCs/>
                <w:szCs w:val="24"/>
              </w:rPr>
              <w:t>r</w:t>
            </w:r>
          </w:p>
        </w:tc>
        <w:tc>
          <w:tcPr>
            <w:tcW w:w="1547" w:type="dxa"/>
            <w:tcBorders>
              <w:bottom w:val="single" w:sz="4" w:space="0" w:color="auto"/>
            </w:tcBorders>
          </w:tcPr>
          <w:p w14:paraId="51191C02" w14:textId="535AE2BC" w:rsidR="00B853CB" w:rsidRPr="0071509E" w:rsidRDefault="00B853CB" w:rsidP="00893057">
            <w:pPr>
              <w:spacing w:line="360" w:lineRule="auto"/>
              <w:jc w:val="center"/>
              <w:rPr>
                <w:szCs w:val="24"/>
              </w:rPr>
            </w:pPr>
            <w:r>
              <w:rPr>
                <w:szCs w:val="24"/>
              </w:rPr>
              <w:t>3</w:t>
            </w:r>
          </w:p>
        </w:tc>
        <w:tc>
          <w:tcPr>
            <w:tcW w:w="2128" w:type="dxa"/>
            <w:tcBorders>
              <w:bottom w:val="single" w:sz="4" w:space="0" w:color="auto"/>
            </w:tcBorders>
          </w:tcPr>
          <w:p w14:paraId="4B544946" w14:textId="60B92574" w:rsidR="00B853CB" w:rsidRPr="0071509E" w:rsidRDefault="00B853CB" w:rsidP="00893057">
            <w:pPr>
              <w:spacing w:line="360" w:lineRule="auto"/>
              <w:jc w:val="both"/>
              <w:rPr>
                <w:szCs w:val="24"/>
              </w:rPr>
            </w:pPr>
            <w:r>
              <w:rPr>
                <w:szCs w:val="24"/>
              </w:rPr>
              <w:t>m</w:t>
            </w:r>
          </w:p>
        </w:tc>
        <w:tc>
          <w:tcPr>
            <w:tcW w:w="1800" w:type="dxa"/>
            <w:tcBorders>
              <w:bottom w:val="single" w:sz="4" w:space="0" w:color="auto"/>
            </w:tcBorders>
          </w:tcPr>
          <w:p w14:paraId="26679BC0" w14:textId="6589B060" w:rsidR="00B853CB" w:rsidRDefault="00583CB0" w:rsidP="00893057">
            <w:pPr>
              <w:spacing w:line="360" w:lineRule="auto"/>
              <w:jc w:val="both"/>
              <w:rPr>
                <w:szCs w:val="24"/>
              </w:rPr>
            </w:pPr>
            <w:r>
              <w:rPr>
                <w:szCs w:val="24"/>
              </w:rPr>
              <w:t>[7]</w:t>
            </w:r>
          </w:p>
        </w:tc>
      </w:tr>
    </w:tbl>
    <w:p w14:paraId="628333D9" w14:textId="77777777" w:rsidR="006320A2" w:rsidRPr="00993651" w:rsidRDefault="006320A2" w:rsidP="00440A85">
      <w:pPr>
        <w:spacing w:line="360" w:lineRule="auto"/>
        <w:jc w:val="both"/>
        <w:rPr>
          <w:b/>
          <w:szCs w:val="24"/>
        </w:rPr>
      </w:pPr>
    </w:p>
    <w:p w14:paraId="3516AAF7" w14:textId="77777777" w:rsidR="00440A85" w:rsidRPr="00993651" w:rsidRDefault="00440A85" w:rsidP="00440A85">
      <w:pPr>
        <w:spacing w:line="360" w:lineRule="auto"/>
        <w:jc w:val="both"/>
        <w:rPr>
          <w:i/>
          <w:iCs/>
          <w:szCs w:val="24"/>
        </w:rPr>
      </w:pPr>
      <w:r w:rsidRPr="00993651">
        <w:rPr>
          <w:b/>
          <w:bCs/>
          <w:szCs w:val="24"/>
        </w:rPr>
        <w:t xml:space="preserve">Table S2. </w:t>
      </w:r>
      <w:r w:rsidRPr="00993651">
        <w:rPr>
          <w:szCs w:val="24"/>
        </w:rPr>
        <w:t xml:space="preserve">Plant inputs used for the Manaus (MAN) and Tapajós (TAP) forest sites </w:t>
      </w:r>
    </w:p>
    <w:tbl>
      <w:tblPr>
        <w:tblStyle w:val="TableGrid"/>
        <w:tblW w:w="7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418"/>
        <w:gridCol w:w="1417"/>
        <w:gridCol w:w="1985"/>
        <w:gridCol w:w="76"/>
        <w:gridCol w:w="1080"/>
      </w:tblGrid>
      <w:tr w:rsidR="00440A85" w:rsidRPr="0071509E" w14:paraId="3516AAFC" w14:textId="77777777" w:rsidTr="00E344A9">
        <w:trPr>
          <w:jc w:val="center"/>
        </w:trPr>
        <w:tc>
          <w:tcPr>
            <w:tcW w:w="1134" w:type="dxa"/>
            <w:tcBorders>
              <w:top w:val="single" w:sz="4" w:space="0" w:color="auto"/>
            </w:tcBorders>
          </w:tcPr>
          <w:p w14:paraId="3516AAF8" w14:textId="77777777" w:rsidR="00440A85" w:rsidRPr="00993651" w:rsidRDefault="00440A85" w:rsidP="00E07064">
            <w:pPr>
              <w:spacing w:line="360" w:lineRule="auto"/>
              <w:rPr>
                <w:b/>
                <w:bCs/>
                <w:szCs w:val="24"/>
                <w:lang w:val="en-GB"/>
              </w:rPr>
            </w:pPr>
            <w:r w:rsidRPr="00993651">
              <w:rPr>
                <w:b/>
                <w:bCs/>
                <w:szCs w:val="24"/>
                <w:lang w:val="en-GB"/>
              </w:rPr>
              <w:t>Symbol</w:t>
            </w:r>
          </w:p>
        </w:tc>
        <w:tc>
          <w:tcPr>
            <w:tcW w:w="2835" w:type="dxa"/>
            <w:gridSpan w:val="2"/>
            <w:tcBorders>
              <w:top w:val="single" w:sz="4" w:space="0" w:color="auto"/>
            </w:tcBorders>
          </w:tcPr>
          <w:p w14:paraId="3516AAF9" w14:textId="77777777" w:rsidR="00440A85" w:rsidRPr="00FC3E0A" w:rsidRDefault="00440A85" w:rsidP="00E07064">
            <w:pPr>
              <w:spacing w:line="360" w:lineRule="auto"/>
              <w:jc w:val="center"/>
              <w:rPr>
                <w:b/>
                <w:bCs/>
                <w:szCs w:val="24"/>
                <w:lang w:val="en-GB"/>
              </w:rPr>
            </w:pPr>
            <w:r w:rsidRPr="00FC3E0A">
              <w:rPr>
                <w:b/>
                <w:bCs/>
                <w:szCs w:val="24"/>
                <w:lang w:val="en-GB"/>
              </w:rPr>
              <w:t>Value</w:t>
            </w:r>
          </w:p>
        </w:tc>
        <w:tc>
          <w:tcPr>
            <w:tcW w:w="2061" w:type="dxa"/>
            <w:gridSpan w:val="2"/>
            <w:tcBorders>
              <w:top w:val="single" w:sz="4" w:space="0" w:color="auto"/>
            </w:tcBorders>
          </w:tcPr>
          <w:p w14:paraId="3516AAFA" w14:textId="77777777" w:rsidR="00440A85" w:rsidRPr="00FC3E0A" w:rsidRDefault="00440A85" w:rsidP="00E07064">
            <w:pPr>
              <w:spacing w:line="360" w:lineRule="auto"/>
              <w:rPr>
                <w:b/>
                <w:bCs/>
                <w:szCs w:val="24"/>
                <w:lang w:val="en-GB"/>
              </w:rPr>
            </w:pPr>
            <w:r w:rsidRPr="00FC3E0A">
              <w:rPr>
                <w:b/>
                <w:bCs/>
                <w:szCs w:val="24"/>
                <w:lang w:val="en-GB"/>
              </w:rPr>
              <w:t>Units</w:t>
            </w:r>
          </w:p>
        </w:tc>
        <w:tc>
          <w:tcPr>
            <w:tcW w:w="1080" w:type="dxa"/>
            <w:tcBorders>
              <w:top w:val="single" w:sz="4" w:space="0" w:color="auto"/>
            </w:tcBorders>
          </w:tcPr>
          <w:p w14:paraId="3516AAFB" w14:textId="77777777" w:rsidR="00440A85" w:rsidRPr="00FC3E0A" w:rsidRDefault="00440A85" w:rsidP="00E07064">
            <w:pPr>
              <w:spacing w:line="360" w:lineRule="auto"/>
              <w:rPr>
                <w:b/>
                <w:bCs/>
                <w:szCs w:val="24"/>
                <w:lang w:val="en-GB"/>
              </w:rPr>
            </w:pPr>
            <w:r w:rsidRPr="00FC3E0A">
              <w:rPr>
                <w:b/>
                <w:bCs/>
                <w:szCs w:val="24"/>
                <w:lang w:val="en-GB"/>
              </w:rPr>
              <w:t>Source</w:t>
            </w:r>
          </w:p>
        </w:tc>
      </w:tr>
      <w:tr w:rsidR="00440A85" w:rsidRPr="0071509E" w14:paraId="3516AB02" w14:textId="77777777" w:rsidTr="00E344A9">
        <w:trPr>
          <w:jc w:val="center"/>
        </w:trPr>
        <w:tc>
          <w:tcPr>
            <w:tcW w:w="1134" w:type="dxa"/>
            <w:tcBorders>
              <w:bottom w:val="single" w:sz="4" w:space="0" w:color="auto"/>
            </w:tcBorders>
          </w:tcPr>
          <w:p w14:paraId="3516AAFD" w14:textId="77777777" w:rsidR="00440A85" w:rsidRPr="0071509E" w:rsidRDefault="00440A85" w:rsidP="00E07064">
            <w:pPr>
              <w:spacing w:line="360" w:lineRule="auto"/>
              <w:rPr>
                <w:b/>
                <w:bCs/>
                <w:szCs w:val="24"/>
                <w:lang w:val="en-GB"/>
              </w:rPr>
            </w:pPr>
          </w:p>
        </w:tc>
        <w:tc>
          <w:tcPr>
            <w:tcW w:w="1418" w:type="dxa"/>
            <w:tcBorders>
              <w:bottom w:val="single" w:sz="4" w:space="0" w:color="auto"/>
            </w:tcBorders>
          </w:tcPr>
          <w:p w14:paraId="3516AAFE" w14:textId="77777777" w:rsidR="00440A85" w:rsidRPr="0071509E" w:rsidRDefault="00440A85" w:rsidP="00E07064">
            <w:pPr>
              <w:spacing w:line="360" w:lineRule="auto"/>
              <w:jc w:val="center"/>
              <w:rPr>
                <w:b/>
                <w:bCs/>
                <w:i/>
                <w:szCs w:val="24"/>
                <w:lang w:val="en-GB"/>
              </w:rPr>
            </w:pPr>
            <w:r w:rsidRPr="0071509E">
              <w:rPr>
                <w:b/>
                <w:bCs/>
                <w:i/>
                <w:szCs w:val="24"/>
              </w:rPr>
              <w:t>MAN</w:t>
            </w:r>
          </w:p>
        </w:tc>
        <w:tc>
          <w:tcPr>
            <w:tcW w:w="1417" w:type="dxa"/>
            <w:tcBorders>
              <w:bottom w:val="single" w:sz="4" w:space="0" w:color="auto"/>
            </w:tcBorders>
          </w:tcPr>
          <w:p w14:paraId="3516AAFF" w14:textId="77777777" w:rsidR="00440A85" w:rsidRPr="0071509E" w:rsidRDefault="00440A85" w:rsidP="00E07064">
            <w:pPr>
              <w:spacing w:line="360" w:lineRule="auto"/>
              <w:jc w:val="center"/>
              <w:rPr>
                <w:b/>
                <w:bCs/>
                <w:i/>
                <w:szCs w:val="24"/>
                <w:lang w:val="en-GB"/>
              </w:rPr>
            </w:pPr>
            <w:r w:rsidRPr="0071509E">
              <w:rPr>
                <w:b/>
                <w:bCs/>
                <w:i/>
                <w:szCs w:val="24"/>
              </w:rPr>
              <w:t>TAP</w:t>
            </w:r>
          </w:p>
        </w:tc>
        <w:tc>
          <w:tcPr>
            <w:tcW w:w="1985" w:type="dxa"/>
            <w:tcBorders>
              <w:bottom w:val="single" w:sz="4" w:space="0" w:color="auto"/>
            </w:tcBorders>
          </w:tcPr>
          <w:p w14:paraId="3516AB00" w14:textId="77777777" w:rsidR="00440A85" w:rsidRPr="0071509E" w:rsidRDefault="00440A85" w:rsidP="00E07064">
            <w:pPr>
              <w:spacing w:line="360" w:lineRule="auto"/>
              <w:rPr>
                <w:b/>
                <w:bCs/>
                <w:szCs w:val="24"/>
                <w:lang w:val="en-GB"/>
              </w:rPr>
            </w:pPr>
          </w:p>
        </w:tc>
        <w:tc>
          <w:tcPr>
            <w:tcW w:w="1156" w:type="dxa"/>
            <w:gridSpan w:val="2"/>
            <w:tcBorders>
              <w:bottom w:val="single" w:sz="4" w:space="0" w:color="auto"/>
            </w:tcBorders>
          </w:tcPr>
          <w:p w14:paraId="3516AB01" w14:textId="77777777" w:rsidR="00440A85" w:rsidRPr="0071509E" w:rsidRDefault="00440A85" w:rsidP="00E07064">
            <w:pPr>
              <w:spacing w:line="360" w:lineRule="auto"/>
              <w:rPr>
                <w:b/>
                <w:bCs/>
                <w:szCs w:val="24"/>
                <w:lang w:val="en-GB"/>
              </w:rPr>
            </w:pPr>
          </w:p>
        </w:tc>
      </w:tr>
      <w:tr w:rsidR="00440A85" w:rsidRPr="0071509E" w14:paraId="3516AB08" w14:textId="77777777" w:rsidTr="00E344A9">
        <w:trPr>
          <w:jc w:val="center"/>
        </w:trPr>
        <w:tc>
          <w:tcPr>
            <w:tcW w:w="1134" w:type="dxa"/>
          </w:tcPr>
          <w:p w14:paraId="3516AB03" w14:textId="77777777" w:rsidR="00440A85" w:rsidRPr="0071509E" w:rsidRDefault="00440A85" w:rsidP="00E07064">
            <w:pPr>
              <w:spacing w:line="360" w:lineRule="auto"/>
              <w:jc w:val="both"/>
              <w:rPr>
                <w:szCs w:val="24"/>
                <w:lang w:val="en-GB"/>
              </w:rPr>
            </w:pPr>
            <w:r w:rsidRPr="0071509E">
              <w:rPr>
                <w:i/>
                <w:iCs/>
                <w:szCs w:val="24"/>
              </w:rPr>
              <w:t>V</w:t>
            </w:r>
            <w:r w:rsidRPr="0071509E">
              <w:rPr>
                <w:szCs w:val="24"/>
                <w:vertAlign w:val="subscript"/>
              </w:rPr>
              <w:t>cmax25</w:t>
            </w:r>
          </w:p>
        </w:tc>
        <w:tc>
          <w:tcPr>
            <w:tcW w:w="1418" w:type="dxa"/>
          </w:tcPr>
          <w:p w14:paraId="3516AB04" w14:textId="77777777" w:rsidR="00440A85" w:rsidRPr="0071509E" w:rsidRDefault="00440A85" w:rsidP="00E07064">
            <w:pPr>
              <w:spacing w:line="360" w:lineRule="auto"/>
              <w:jc w:val="center"/>
              <w:rPr>
                <w:szCs w:val="24"/>
                <w:lang w:val="en-GB"/>
              </w:rPr>
            </w:pPr>
            <w:r w:rsidRPr="0071509E">
              <w:rPr>
                <w:szCs w:val="24"/>
              </w:rPr>
              <w:t>4.3 x 10</w:t>
            </w:r>
            <w:r w:rsidRPr="0071509E">
              <w:rPr>
                <w:szCs w:val="24"/>
                <w:vertAlign w:val="superscript"/>
              </w:rPr>
              <w:t>-5</w:t>
            </w:r>
          </w:p>
        </w:tc>
        <w:tc>
          <w:tcPr>
            <w:tcW w:w="1417" w:type="dxa"/>
          </w:tcPr>
          <w:p w14:paraId="3516AB05" w14:textId="77777777" w:rsidR="00440A85" w:rsidRPr="0071509E" w:rsidRDefault="00440A85" w:rsidP="00E07064">
            <w:pPr>
              <w:spacing w:line="360" w:lineRule="auto"/>
              <w:jc w:val="center"/>
              <w:rPr>
                <w:szCs w:val="24"/>
                <w:lang w:val="en-GB"/>
              </w:rPr>
            </w:pPr>
            <w:r w:rsidRPr="0071509E">
              <w:rPr>
                <w:szCs w:val="24"/>
              </w:rPr>
              <w:t>2.9 x 10</w:t>
            </w:r>
            <w:r w:rsidRPr="0071509E">
              <w:rPr>
                <w:szCs w:val="24"/>
                <w:vertAlign w:val="superscript"/>
              </w:rPr>
              <w:t>-5</w:t>
            </w:r>
          </w:p>
        </w:tc>
        <w:tc>
          <w:tcPr>
            <w:tcW w:w="1985" w:type="dxa"/>
          </w:tcPr>
          <w:p w14:paraId="3516AB06" w14:textId="77777777" w:rsidR="00440A85" w:rsidRPr="0071509E" w:rsidRDefault="00440A85" w:rsidP="00E07064">
            <w:pPr>
              <w:spacing w:line="360" w:lineRule="auto"/>
              <w:jc w:val="both"/>
              <w:rPr>
                <w:szCs w:val="24"/>
                <w:lang w:val="en-GB"/>
              </w:rPr>
            </w:pPr>
            <w:r w:rsidRPr="0071509E">
              <w:rPr>
                <w:szCs w:val="24"/>
              </w:rPr>
              <w:t>mol m</w:t>
            </w:r>
            <w:r w:rsidRPr="0071509E">
              <w:rPr>
                <w:szCs w:val="24"/>
                <w:vertAlign w:val="superscript"/>
              </w:rPr>
              <w:t>-2</w:t>
            </w:r>
            <w:r w:rsidRPr="0071509E">
              <w:rPr>
                <w:szCs w:val="24"/>
              </w:rPr>
              <w:t xml:space="preserve"> s</w:t>
            </w:r>
            <w:r w:rsidRPr="0071509E">
              <w:rPr>
                <w:szCs w:val="24"/>
                <w:vertAlign w:val="superscript"/>
              </w:rPr>
              <w:t>-1</w:t>
            </w:r>
          </w:p>
        </w:tc>
        <w:tc>
          <w:tcPr>
            <w:tcW w:w="1156" w:type="dxa"/>
            <w:gridSpan w:val="2"/>
          </w:tcPr>
          <w:p w14:paraId="3516AB07" w14:textId="1B0769D6" w:rsidR="00440A85" w:rsidRPr="00993651" w:rsidRDefault="00440A85" w:rsidP="00E07064">
            <w:pPr>
              <w:spacing w:line="360" w:lineRule="auto"/>
              <w:jc w:val="both"/>
              <w:rPr>
                <w:szCs w:val="24"/>
                <w:lang w:val="en-GB"/>
              </w:rPr>
            </w:pPr>
            <w:r w:rsidRPr="00993651">
              <w:rPr>
                <w:szCs w:val="24"/>
              </w:rPr>
              <w:fldChar w:fldCharType="begin" w:fldLock="1"/>
            </w:r>
            <w:r w:rsidR="009C423F">
              <w:rPr>
                <w:szCs w:val="24"/>
                <w:lang w:val="en-GB"/>
              </w:rPr>
              <w:instrText>ADDIN CSL_CITATION {"citationItems":[{"id":"ITEM-1","itemData":{"DOI":"10.1093/treephys/20.3.179","ISBN":"0829-318X","ISSN":"0829-318X","PMID":"12651470","abstract":"The vertical profile in leaf photosynthetic capacity was investigated in a terra firme rain forest in central Amazonia. Measurements of photosynthesis were made on leaves at five levels in the canopy, and a model was fitted to describe photosynthetic capacity for each level. In addition, vertical profiles of photosynthetic photon flux density, leaf nitrogen concentration and specific leaf area were measured. The derived parameters for maximum rate of electron transport (J(max)) and maximum rate of carboxylation by Rubisco (V(cmax)) increased significantly with canopy height (P &lt; 0.05). The highest J(max) for a single canopy level was measured at the penultimate canopy level (20 m) and was 103.9 &amp;mgr;mol m(-2) s(-1) +/- 24.2 (SE). The highest V(cmax) per canopy height was recorded at the top canopy level (24 m) and was 42.8 +/- 5.9 &amp;mgr;mol m(-2) s(-1). Values of J(max) and V(cmax) at ground level were 35.8 +/- 3.3 and 20.5 +/- 1.3 &amp;mgr;mol m(-2) s(-1), espectively. The increase in photosynthetic capacity with increasing canopy height was strongly correlated with leaf nitrogen concentration when examined on a leaf area basis, but was only weakly correlated on a mass basis. The correlation on an area basis can be largely explained by the concomitant decrease in specific leaf area with increasing height. Apparent daytime leaf respiration, on an area basis, also increased significantly with canopy height (P &lt; 0.05). We conclude that canopy photosynthetic capacity can be represented as an average vertical profile, perturbations of which may be explained by variations in the environmental variables driving photosynthesis.","author":[{"dropping-particle":"","family":"Carswell","given":"F. E.","non-dropping-particle":"","parse-names":false,"suffix":""},{"dropping-particle":"","family":"Meir","given":"P.","non-dropping-particle":"","parse-names":false,"suffix":""},{"dropping-particle":"V.","family":"Wandelli","given":"E.","non-dropping-particle":"","parse-names":false,"suffix":""},{"dropping-particle":"","family":"Bonates","given":"L. C. M.","non-dropping-particle":"","parse-names":false,"suffix":""},{"dropping-particle":"","family":"Kruijt","given":"B.","non-dropping-particle":"","parse-names":false,"suffix":""},{"dropping-particle":"","family":"Barbosa","given":"E. M.","non-dropping-particle":"","parse-names":false,"suffix":""},{"dropping-particle":"","family":"Nobre","given":"A. D.","non-dropping-particle":"","parse-names":false,"suffix":""},{"dropping-particle":"","family":"Grace","given":"J.","non-dropping-particle":"","parse-names":false,"suffix":""},{"dropping-particle":"","family":"Jarvis","given":"P. G.","non-dropping-particle":"","parse-names":false,"suffix":""}],"container-title":"Tree Physiology","id":"ITEM-1","issue":"3","issued":{"date-parts":[["2000"]]},"page":"179-186","title":"Photosynthetic capacity in a central Amazonian rain forest","type":"article-journal","volume":"20"},"uris":["http://www.mendeley.com/documents/?uuid=0d431a88-2a3b-4b6a-a1d9-73d770b8ba80"]},{"id":"ITEM-2","itemData":{"author":[{"dropping-particle":"","family":"Wu","given":"J","non-dropping-particle":"","parse-names":false,"suffix":""}],"id":"ITEM-2","issued":{"date-parts":[["2015"]]},"publisher-place":"The University of Arizona. ","title":"How do Amazonian Tropical Forest Systems Photosynthesize under Seasonal Climatic Variability: Insights from Tropical Phenology","type":"thesis"},"uris":["http://www.mendeley.com/documents/?uuid=0bc26d76-958b-4557-aab0-c17b927ce1bf"]}],"mendeley":{"formattedCitation":"[16,17]","plainTextFormattedCitation":"[16,17]","previouslyFormattedCitation":"[16,17]"},"properties":{"noteIndex":0},"schema":"https://github.com/citation-style-language/schema/raw/master/csl-citation.json"}</w:instrText>
            </w:r>
            <w:r w:rsidRPr="00993651">
              <w:rPr>
                <w:szCs w:val="24"/>
              </w:rPr>
              <w:fldChar w:fldCharType="separate"/>
            </w:r>
            <w:r w:rsidR="000E01C5" w:rsidRPr="000E01C5">
              <w:rPr>
                <w:noProof/>
                <w:szCs w:val="24"/>
                <w:lang w:val="en-GB"/>
              </w:rPr>
              <w:t>[16,17]</w:t>
            </w:r>
            <w:r w:rsidRPr="00993651">
              <w:rPr>
                <w:szCs w:val="24"/>
              </w:rPr>
              <w:fldChar w:fldCharType="end"/>
            </w:r>
          </w:p>
        </w:tc>
      </w:tr>
      <w:tr w:rsidR="00440A85" w:rsidRPr="0071509E" w14:paraId="3516AB0E" w14:textId="77777777" w:rsidTr="00E344A9">
        <w:trPr>
          <w:jc w:val="center"/>
        </w:trPr>
        <w:tc>
          <w:tcPr>
            <w:tcW w:w="1134" w:type="dxa"/>
          </w:tcPr>
          <w:p w14:paraId="3516AB09" w14:textId="77777777" w:rsidR="00440A85" w:rsidRPr="0071509E" w:rsidRDefault="00440A85" w:rsidP="00E07064">
            <w:pPr>
              <w:spacing w:line="360" w:lineRule="auto"/>
              <w:jc w:val="both"/>
              <w:rPr>
                <w:i/>
                <w:iCs/>
                <w:szCs w:val="24"/>
                <w:lang w:val="en-GB"/>
              </w:rPr>
            </w:pPr>
            <w:r w:rsidRPr="0071509E">
              <w:rPr>
                <w:i/>
                <w:iCs/>
                <w:szCs w:val="24"/>
              </w:rPr>
              <w:t>h</w:t>
            </w:r>
          </w:p>
        </w:tc>
        <w:tc>
          <w:tcPr>
            <w:tcW w:w="1418" w:type="dxa"/>
          </w:tcPr>
          <w:p w14:paraId="3516AB0A" w14:textId="77777777" w:rsidR="00440A85" w:rsidRPr="0071509E" w:rsidRDefault="00440A85" w:rsidP="00E07064">
            <w:pPr>
              <w:spacing w:line="360" w:lineRule="auto"/>
              <w:jc w:val="center"/>
              <w:rPr>
                <w:szCs w:val="24"/>
                <w:lang w:val="en-GB"/>
              </w:rPr>
            </w:pPr>
            <w:r w:rsidRPr="0071509E">
              <w:rPr>
                <w:szCs w:val="24"/>
              </w:rPr>
              <w:t>35</w:t>
            </w:r>
          </w:p>
        </w:tc>
        <w:tc>
          <w:tcPr>
            <w:tcW w:w="1417" w:type="dxa"/>
          </w:tcPr>
          <w:p w14:paraId="3516AB0B" w14:textId="77777777" w:rsidR="00440A85" w:rsidRPr="0071509E" w:rsidRDefault="00440A85" w:rsidP="00E07064">
            <w:pPr>
              <w:spacing w:line="360" w:lineRule="auto"/>
              <w:jc w:val="center"/>
              <w:rPr>
                <w:szCs w:val="24"/>
                <w:lang w:val="en-GB"/>
              </w:rPr>
            </w:pPr>
            <w:r w:rsidRPr="0071509E">
              <w:rPr>
                <w:szCs w:val="24"/>
              </w:rPr>
              <w:t>35</w:t>
            </w:r>
          </w:p>
        </w:tc>
        <w:tc>
          <w:tcPr>
            <w:tcW w:w="1985" w:type="dxa"/>
          </w:tcPr>
          <w:p w14:paraId="3516AB0C" w14:textId="77777777" w:rsidR="00440A85" w:rsidRPr="0071509E" w:rsidRDefault="00440A85" w:rsidP="00E07064">
            <w:pPr>
              <w:spacing w:line="360" w:lineRule="auto"/>
              <w:jc w:val="both"/>
              <w:rPr>
                <w:szCs w:val="24"/>
                <w:lang w:val="en-GB"/>
              </w:rPr>
            </w:pPr>
            <w:r w:rsidRPr="0071509E">
              <w:rPr>
                <w:szCs w:val="24"/>
              </w:rPr>
              <w:t>m</w:t>
            </w:r>
          </w:p>
        </w:tc>
        <w:tc>
          <w:tcPr>
            <w:tcW w:w="1156" w:type="dxa"/>
            <w:gridSpan w:val="2"/>
          </w:tcPr>
          <w:p w14:paraId="3516AB0D" w14:textId="682FCB26" w:rsidR="00440A85" w:rsidRPr="00993651" w:rsidRDefault="00440A85" w:rsidP="00E07064">
            <w:pPr>
              <w:spacing w:line="360" w:lineRule="auto"/>
              <w:jc w:val="both"/>
              <w:rPr>
                <w:szCs w:val="24"/>
                <w:lang w:val="en-GB"/>
              </w:rPr>
            </w:pPr>
            <w:r w:rsidRPr="00993651">
              <w:rPr>
                <w:szCs w:val="24"/>
              </w:rPr>
              <w:fldChar w:fldCharType="begin" w:fldLock="1"/>
            </w:r>
            <w:r w:rsidR="009C423F">
              <w:rPr>
                <w:szCs w:val="24"/>
                <w:lang w:val="en-GB"/>
              </w:rPr>
              <w:instrText>ADDIN CSL_CITATION {"citationItems":[{"id":"ITEM-1","itemData":{"DOI":"10.1016/j.agrformet.2013.04.030","ISBN":"0168-1923","ISSN":"01681923","abstract":"A fundamental question connecting terrestrial ecology and global climate change is the sensitivity of key terrestrial biomes to climatic variability and change. The Amazon region is such a key biome: it contains unparalleled biological diversity, a globally significant store of organic carbon, and it is a potent engine driving global cycles of water and energy. The importance of understanding how land surface dynamics of the Amazon region respond to climatic variability and change is widely appreciated, but despite significant recent advances, large gaps in our understanding remain. Understanding of energy and carbon exchange between terrestrial ecosystems and the atmosphere can be improved through direct observations and experiments, as well as through modeling activities. Land surface/ecosystem models have become important tools for extrapolating local observations and understanding to much larger terrestrial regions. They are also valuable tools to test hypothesis on ecosystem functioning. Funded by NASA under the auspices of the LBA (the Large-Scale Biosphere-Atmosphere Experiment in Amazonia), the LBA Data Model Intercomparison Project (LBA-DMIP) uses a comprehensive data set from an observational network of flux towers across the Amazon, and an ecosystem modeling community engaged in ongoing studies using a suite of different land surface and terrestrial ecosystem models to understand Amazon forest function. Here an overview of this project is presented accompanied by a description of the measurement sites, data, models and protocol. © 2013 Elsevier B.V.","author":[{"dropping-particle":"","family":"Gonçalves","given":"Luis Gustavo Gonçalves","non-dropping-particle":"De","parse-names":false,"suffix":""},{"dropping-particle":"","family":"Borak","given":"Jordan S.","non-dropping-particle":"","parse-names":false,"suffix":""},{"dropping-particle":"","family":"Costa","given":"Marcos Heil","non-dropping-particle":"","parse-names":false,"suffix":""},{"dropping-particle":"","family":"Saleska","given":"Scott R.","non-dropping-particle":"","parse-names":false,"suffix":""},{"dropping-particle":"","family":"Baker","given":"Ian","non-dropping-particle":"","parse-names":false,"suffix":""},{"dropping-particle":"","family":"Restrepo-Coupe","given":"Natalia","non-dropping-particle":"","parse-names":false,"suffix":""},{"dropping-particle":"","family":"Muza","given":"Michel Nobre","non-dropping-particle":"","parse-names":false,"suffix":""},{"dropping-particle":"","family":"Poulter","given":"Benjamin","non-dropping-particle":"","parse-names":false,"suffix":""},{"dropping-particle":"","family":"Verbeeck","given":"Hans","non-dropping-particle":"","parse-names":false,"suffix":""},{"dropping-particle":"","family":"Fisher","given":"Joshua B.","non-dropping-particle":"","parse-names":false,"suffix":""},{"dropping-particle":"","family":"Arain","given":"M. Altaf","non-dropping-particle":"","parse-names":false,"suffix":""},{"dropping-particle":"","family":"Arkin","given":"Phillip","non-dropping-particle":"","parse-names":false,"suffix":""},{"dropping-particle":"","family":"Cestaro","given":"Bruno P.","non-dropping-particle":"","parse-names":false,"suffix":""},{"dropping-particle":"","family":"Christoffersen","given":"Bradley","non-dropping-particle":"","parse-names":false,"suffix":""},{"dropping-particle":"","family":"Galbraith","given":"David","non-dropping-particle":"","parse-names":false,"suffix":""},{"dropping-particle":"","family":"Guan","given":"Xiaodan","non-dropping-particle":"","parse-names":false,"suffix":""},{"dropping-particle":"","family":"Hurk","given":"Bart J.J.M.","non-dropping-particle":"van den","parse-names":false,"suffix":""},{"dropping-particle":"","family":"Ichii","given":"Kazuhito","non-dropping-particle":"","parse-names":false,"suffix":""},{"dropping-particle":"","family":"Imbuzeiro","given":"Hewlley M.Acioli","non-dropping-particle":"","parse-names":false,"suffix":""},{"dropping-particle":"","family":"Jain","given":"Atul K.","non-dropping-particle":"","parse-names":false,"suffix":""},{"dropping-particle":"","family":"Levine","given":"Naomi","non-dropping-particle":"","parse-names":false,"suffix":""},{"dropping-particle":"","family":"Lu","given":"Chaoqun","non-dropping-particle":"","parse-names":false,"suffix":""},{"dropping-particle":"","family":"Miguez-Macho","given":"Gonzalo","non-dropping-particle":"","parse-names":false,"suffix":""},{"dropping-particle":"","family":"Roberti","given":"Débora R.","non-dropping-particle":"","parse-names":false,"suffix":""},{"dropping-particle":"","family":"Sahoo","given":"Alok","non-dropping-particle":"","parse-names":false,"suffix":""},{"dropping-particle":"","family":"Sakaguchi","given":"Koichi","non-dropping-particle":"","parse-names":false,"suffix":""},{"dropping-particle":"","family":"Schaefer","given":"Kevin","non-dropping-particle":"","parse-names":false,"suffix":""},{"dropping-particle":"","family":"Shi","given":"Mingjie","non-dropping-particle":"","parse-names":false,"suffix":""},{"dropping-particle":"","family":"Shuttleworth","given":"W. James","non-dropping-particle":"","parse-names":false,"suffix":""},{"dropping-particle":"","family":"Tian","given":"Hanqin","non-dropping-particle":"","parse-names":false,"suffix":""},{"dropping-particle":"","family":"Yang","given":"Zong Liang","non-dropping-particle":"","parse-names":false,"suffix":""},{"dropping-particle":"","family":"Zeng","given":"Xubin","non-dropping-particle":"","parse-names":false,"suffix":""}],"container-title":"Agricultural and Forest Meteorology","id":"ITEM-1","issued":{"date-parts":[["2013"]]},"page":"111-127","title":"Overview of the large-scale biosphere-atmosphere experiment in amazonia data model intercomparison project (LBA-DMIP)","type":"article-journal","volume":"182-183"},"uris":["http://www.mendeley.com/documents/?uuid=5ef10b0d-ae85-4b1d-bbc6-e7640d67af88"]}],"mendeley":{"formattedCitation":"[18]","plainTextFormattedCitation":"[18]","previouslyFormattedCitation":"[18]"},"properties":{"noteIndex":0},"schema":"https://github.com/citation-style-language/schema/raw/master/csl-citation.json"}</w:instrText>
            </w:r>
            <w:r w:rsidRPr="00993651">
              <w:rPr>
                <w:szCs w:val="24"/>
              </w:rPr>
              <w:fldChar w:fldCharType="separate"/>
            </w:r>
            <w:r w:rsidR="000E01C5" w:rsidRPr="000E01C5">
              <w:rPr>
                <w:noProof/>
                <w:szCs w:val="24"/>
                <w:lang w:val="en-GB"/>
              </w:rPr>
              <w:t>[18]</w:t>
            </w:r>
            <w:r w:rsidRPr="00993651">
              <w:rPr>
                <w:szCs w:val="24"/>
              </w:rPr>
              <w:fldChar w:fldCharType="end"/>
            </w:r>
          </w:p>
        </w:tc>
      </w:tr>
      <w:tr w:rsidR="00440A85" w:rsidRPr="0071509E" w14:paraId="3516AB14" w14:textId="77777777" w:rsidTr="00E344A9">
        <w:trPr>
          <w:jc w:val="center"/>
        </w:trPr>
        <w:tc>
          <w:tcPr>
            <w:tcW w:w="1134" w:type="dxa"/>
            <w:tcBorders>
              <w:bottom w:val="single" w:sz="4" w:space="0" w:color="auto"/>
            </w:tcBorders>
          </w:tcPr>
          <w:p w14:paraId="3516AB0F" w14:textId="75183F15" w:rsidR="00440A85" w:rsidRPr="0071509E" w:rsidRDefault="006D3019" w:rsidP="00E07064">
            <w:pPr>
              <w:spacing w:line="360" w:lineRule="auto"/>
              <w:jc w:val="both"/>
              <w:rPr>
                <w:i/>
                <w:iCs/>
                <w:szCs w:val="24"/>
                <w:lang w:val="en-GB"/>
              </w:rPr>
            </w:pPr>
            <w:r>
              <w:rPr>
                <w:i/>
                <w:iCs/>
                <w:szCs w:val="24"/>
              </w:rPr>
              <w:t>Ψ</w:t>
            </w:r>
            <w:r w:rsidR="00440A85" w:rsidRPr="0071509E">
              <w:rPr>
                <w:i/>
                <w:iCs/>
                <w:szCs w:val="24"/>
                <w:vertAlign w:val="subscript"/>
              </w:rPr>
              <w:t>50</w:t>
            </w:r>
          </w:p>
        </w:tc>
        <w:tc>
          <w:tcPr>
            <w:tcW w:w="1418" w:type="dxa"/>
            <w:tcBorders>
              <w:bottom w:val="single" w:sz="4" w:space="0" w:color="auto"/>
            </w:tcBorders>
          </w:tcPr>
          <w:p w14:paraId="3516AB10" w14:textId="296E6F3C" w:rsidR="00440A85" w:rsidRPr="0071509E" w:rsidRDefault="00440A85" w:rsidP="00E07064">
            <w:pPr>
              <w:spacing w:line="360" w:lineRule="auto"/>
              <w:jc w:val="center"/>
              <w:rPr>
                <w:szCs w:val="24"/>
                <w:lang w:val="en-GB"/>
              </w:rPr>
            </w:pPr>
            <w:r w:rsidRPr="0071509E">
              <w:rPr>
                <w:szCs w:val="24"/>
              </w:rPr>
              <w:t>-</w:t>
            </w:r>
            <w:r w:rsidR="000C4CDA">
              <w:rPr>
                <w:szCs w:val="24"/>
              </w:rPr>
              <w:t>2</w:t>
            </w:r>
            <w:r w:rsidRPr="0071509E">
              <w:rPr>
                <w:szCs w:val="24"/>
              </w:rPr>
              <w:t>.</w:t>
            </w:r>
            <w:r w:rsidR="000C4CDA">
              <w:rPr>
                <w:szCs w:val="24"/>
              </w:rPr>
              <w:t>1</w:t>
            </w:r>
          </w:p>
        </w:tc>
        <w:tc>
          <w:tcPr>
            <w:tcW w:w="1417" w:type="dxa"/>
            <w:tcBorders>
              <w:bottom w:val="single" w:sz="4" w:space="0" w:color="auto"/>
            </w:tcBorders>
          </w:tcPr>
          <w:p w14:paraId="3516AB11" w14:textId="77777777" w:rsidR="00440A85" w:rsidRPr="0071509E" w:rsidRDefault="00440A85" w:rsidP="00E07064">
            <w:pPr>
              <w:spacing w:line="360" w:lineRule="auto"/>
              <w:jc w:val="center"/>
              <w:rPr>
                <w:szCs w:val="24"/>
                <w:lang w:val="en-GB"/>
              </w:rPr>
            </w:pPr>
            <w:r w:rsidRPr="0071509E">
              <w:rPr>
                <w:szCs w:val="24"/>
              </w:rPr>
              <w:t>-2.3</w:t>
            </w:r>
          </w:p>
        </w:tc>
        <w:tc>
          <w:tcPr>
            <w:tcW w:w="1985" w:type="dxa"/>
            <w:tcBorders>
              <w:bottom w:val="single" w:sz="4" w:space="0" w:color="auto"/>
            </w:tcBorders>
          </w:tcPr>
          <w:p w14:paraId="3516AB12" w14:textId="77777777" w:rsidR="00440A85" w:rsidRPr="0071509E" w:rsidRDefault="00440A85" w:rsidP="00E07064">
            <w:pPr>
              <w:spacing w:line="360" w:lineRule="auto"/>
              <w:jc w:val="both"/>
              <w:rPr>
                <w:szCs w:val="24"/>
                <w:lang w:val="en-GB"/>
              </w:rPr>
            </w:pPr>
            <w:r w:rsidRPr="0071509E">
              <w:rPr>
                <w:szCs w:val="24"/>
              </w:rPr>
              <w:t>MPa</w:t>
            </w:r>
          </w:p>
        </w:tc>
        <w:tc>
          <w:tcPr>
            <w:tcW w:w="1156" w:type="dxa"/>
            <w:gridSpan w:val="2"/>
            <w:tcBorders>
              <w:bottom w:val="single" w:sz="4" w:space="0" w:color="auto"/>
            </w:tcBorders>
          </w:tcPr>
          <w:p w14:paraId="3516AB13" w14:textId="436B8E49" w:rsidR="00440A85" w:rsidRPr="00993651" w:rsidRDefault="00440A85" w:rsidP="00E07064">
            <w:pPr>
              <w:spacing w:line="360" w:lineRule="auto"/>
              <w:jc w:val="both"/>
              <w:rPr>
                <w:szCs w:val="24"/>
                <w:lang w:val="en-GB"/>
              </w:rPr>
            </w:pPr>
            <w:r w:rsidRPr="00993651">
              <w:rPr>
                <w:szCs w:val="24"/>
              </w:rPr>
              <w:fldChar w:fldCharType="begin" w:fldLock="1"/>
            </w:r>
            <w:r w:rsidR="009C423F">
              <w:rPr>
                <w:szCs w:val="24"/>
                <w:lang w:val="en-GB"/>
              </w:rPr>
              <w:instrText>ADDIN CSL_CITATION {"citationItems":[{"id":"ITEM-1","itemData":{"DOI":"10.1111/1365-2745.13022","author":[{"dropping-particle":"","family":"Brum","given":"Mauro","non-dropping-particle":"","parse-names":false,"suffix":""},{"dropping-particle":"","family":"Vadeboncoeur","given":"Matthew A","non-dropping-particle":"","parse-names":false,"suffix":""},{"dropping-particle":"","family":"Ivanov","given":"Valeriy","non-dropping-particle":"","parse-names":false,"suffix":""},{"dropping-particle":"","family":"Asbjornsen","given":"Heidi","non-dropping-particle":"","parse-names":false,"suffix":""},{"dropping-particle":"","family":"Saleska","given":"Scott","non-dropping-particle":"","parse-names":false,"suffix":""},{"dropping-particle":"","family":"Alves","given":"Luciana F","non-dropping-particle":"","parse-names":false,"suffix":""},{"dropping-particle":"","family":"Penha","given":"Deliane","non-dropping-particle":"","parse-names":false,"suffix":""},{"dropping-particle":"","family":"Dias","given":"Jadson D","non-dropping-particle":"","parse-names":false,"suffix":""},{"dropping-particle":"","family":"Arag","given":"Luiz E O C","non-dropping-particle":"","parse-names":false,"suffix":""},{"dropping-particle":"","family":"Barros","given":"Fernanda","non-dropping-particle":"","parse-names":false,"suffix":""},{"dropping-particle":"","family":"Bittencourt","given":"Paulo","non-dropping-particle":"","parse-names":false,"suffix":""},{"dropping-particle":"","family":"Pereira","given":"Luciano","non-dropping-particle":"","parse-names":false,"suffix":""},{"dropping-particle":"","family":"Oliveira","given":"Rafael S","non-dropping-particle":"","parse-names":false,"suffix":""}],"container-title":"Journal of Ecology","id":"ITEM-1","issued":{"date-parts":[["2018"]]},"title":"Hydrological niche segregation defines forest structure and drought tolerance strategies in a seasonal Amazon forest","type":"article-journal"},"uris":["http://www.mendeley.com/documents/?uuid=c493d3d4-00ec-40b4-bac7-88e4e0914c1a"]},{"id":"ITEM-2","itemData":{"author":[{"dropping-particle":"","family":"V. Barros","given":"Fernanda","non-dropping-particle":"de","parse-names":false,"suffix":""}],"id":"ITEM-2","issued":{"date-parts":[["2017"]]},"publisher":"University of Campinas","title":"FUNCIONAMENTO HIDRÁULICO E VULNERABILIDADE À SECA DE DUAS FLORESTAS TROPICAIS","type":"thesis"},"uris":["http://www.mendeley.com/documents/?uuid=27b6ec13-c626-4e5c-a359-33d8ae3ae923"]}],"mendeley":{"formattedCitation":"[19,20]","plainTextFormattedCitation":"[19,20]","previouslyFormattedCitation":"[19,20]"},"properties":{"noteIndex":0},"schema":"https://github.com/citation-style-language/schema/raw/master/csl-citation.json"}</w:instrText>
            </w:r>
            <w:r w:rsidRPr="00993651">
              <w:rPr>
                <w:szCs w:val="24"/>
              </w:rPr>
              <w:fldChar w:fldCharType="separate"/>
            </w:r>
            <w:r w:rsidR="000E01C5" w:rsidRPr="000E01C5">
              <w:rPr>
                <w:noProof/>
                <w:szCs w:val="24"/>
                <w:lang w:val="en-GB"/>
              </w:rPr>
              <w:t>[19,20]</w:t>
            </w:r>
            <w:r w:rsidRPr="00993651">
              <w:rPr>
                <w:szCs w:val="24"/>
              </w:rPr>
              <w:fldChar w:fldCharType="end"/>
            </w:r>
          </w:p>
        </w:tc>
      </w:tr>
    </w:tbl>
    <w:p w14:paraId="3516AB1B" w14:textId="11936A0E" w:rsidR="00440A85" w:rsidRPr="00993651" w:rsidRDefault="006D3019" w:rsidP="00440A85">
      <w:pPr>
        <w:spacing w:line="360" w:lineRule="auto"/>
        <w:jc w:val="both"/>
        <w:rPr>
          <w:bCs/>
          <w:i/>
          <w:szCs w:val="24"/>
        </w:rPr>
      </w:pPr>
      <w:r>
        <w:rPr>
          <w:bCs/>
          <w:i/>
          <w:szCs w:val="24"/>
        </w:rPr>
        <w:t xml:space="preserve">Note: </w:t>
      </w:r>
      <w:r w:rsidR="00440A85" w:rsidRPr="0071509E">
        <w:rPr>
          <w:bCs/>
          <w:i/>
          <w:szCs w:val="24"/>
        </w:rPr>
        <w:t>The remaining plant inputs were assumed to be equal to the</w:t>
      </w:r>
      <w:r w:rsidR="006320A2">
        <w:rPr>
          <w:bCs/>
          <w:i/>
          <w:szCs w:val="24"/>
        </w:rPr>
        <w:t xml:space="preserve"> control plot in</w:t>
      </w:r>
      <w:r w:rsidR="00440A85" w:rsidRPr="00993651">
        <w:rPr>
          <w:bCs/>
          <w:i/>
          <w:szCs w:val="24"/>
        </w:rPr>
        <w:t xml:space="preserve"> Caxiuanã site (Table S1).</w:t>
      </w:r>
    </w:p>
    <w:p w14:paraId="3516AB1C" w14:textId="77777777" w:rsidR="00440A85" w:rsidRPr="00993651" w:rsidRDefault="00440A85" w:rsidP="00440A85">
      <w:pPr>
        <w:spacing w:line="360" w:lineRule="auto"/>
        <w:jc w:val="both"/>
        <w:outlineLvl w:val="0"/>
        <w:rPr>
          <w:b/>
          <w:bCs/>
          <w:szCs w:val="24"/>
        </w:rPr>
      </w:pPr>
    </w:p>
    <w:p w14:paraId="3516AB1D" w14:textId="77777777" w:rsidR="00440A85" w:rsidRPr="00FC3E0A" w:rsidRDefault="00440A85" w:rsidP="00440A85">
      <w:pPr>
        <w:spacing w:line="360" w:lineRule="auto"/>
        <w:jc w:val="both"/>
        <w:outlineLvl w:val="0"/>
        <w:rPr>
          <w:i/>
          <w:iCs/>
          <w:szCs w:val="24"/>
        </w:rPr>
      </w:pPr>
      <w:r w:rsidRPr="00993651">
        <w:rPr>
          <w:b/>
          <w:bCs/>
          <w:szCs w:val="24"/>
        </w:rPr>
        <w:t xml:space="preserve">Table S3. </w:t>
      </w:r>
      <w:r w:rsidRPr="00993651">
        <w:rPr>
          <w:szCs w:val="24"/>
        </w:rPr>
        <w:t>Description of the simulations conducted at the three amazon sites</w:t>
      </w:r>
    </w:p>
    <w:tbl>
      <w:tblPr>
        <w:tblStyle w:val="TableGrid"/>
        <w:tblW w:w="5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2053"/>
        <w:gridCol w:w="1830"/>
      </w:tblGrid>
      <w:tr w:rsidR="00440A85" w:rsidRPr="0071509E" w14:paraId="3516AB21" w14:textId="77777777" w:rsidTr="00E344A9">
        <w:trPr>
          <w:jc w:val="center"/>
        </w:trPr>
        <w:tc>
          <w:tcPr>
            <w:tcW w:w="1337" w:type="dxa"/>
            <w:tcBorders>
              <w:top w:val="single" w:sz="4" w:space="0" w:color="auto"/>
              <w:bottom w:val="single" w:sz="4" w:space="0" w:color="auto"/>
            </w:tcBorders>
          </w:tcPr>
          <w:p w14:paraId="3516AB1E" w14:textId="77777777" w:rsidR="00440A85" w:rsidRPr="00FC3E0A" w:rsidRDefault="00440A85" w:rsidP="00E07064">
            <w:pPr>
              <w:spacing w:line="360" w:lineRule="auto"/>
              <w:jc w:val="center"/>
              <w:rPr>
                <w:b/>
                <w:bCs/>
                <w:szCs w:val="24"/>
                <w:lang w:val="en-GB"/>
              </w:rPr>
            </w:pPr>
            <w:r w:rsidRPr="00FC3E0A">
              <w:rPr>
                <w:b/>
                <w:bCs/>
                <w:szCs w:val="24"/>
                <w:lang w:val="en-GB"/>
              </w:rPr>
              <w:t>Simulation</w:t>
            </w:r>
          </w:p>
        </w:tc>
        <w:tc>
          <w:tcPr>
            <w:tcW w:w="2053" w:type="dxa"/>
            <w:tcBorders>
              <w:top w:val="single" w:sz="4" w:space="0" w:color="auto"/>
              <w:bottom w:val="single" w:sz="4" w:space="0" w:color="auto"/>
            </w:tcBorders>
          </w:tcPr>
          <w:p w14:paraId="3516AB1F" w14:textId="5929C33A" w:rsidR="00440A85" w:rsidRPr="00FC3E0A" w:rsidRDefault="00440A85" w:rsidP="00E07064">
            <w:pPr>
              <w:spacing w:line="360" w:lineRule="auto"/>
              <w:jc w:val="center"/>
              <w:rPr>
                <w:b/>
                <w:bCs/>
                <w:szCs w:val="24"/>
                <w:lang w:val="en-GB"/>
              </w:rPr>
            </w:pPr>
            <w:r w:rsidRPr="00FC3E0A">
              <w:rPr>
                <w:b/>
                <w:bCs/>
                <w:i/>
                <w:szCs w:val="24"/>
                <w:lang w:val="en-GB"/>
              </w:rPr>
              <w:t>P</w:t>
            </w:r>
            <w:r w:rsidRPr="00FC3E0A">
              <w:rPr>
                <w:b/>
                <w:bCs/>
                <w:i/>
                <w:szCs w:val="24"/>
                <w:vertAlign w:val="subscript"/>
                <w:lang w:val="en-GB"/>
              </w:rPr>
              <w:t>s</w:t>
            </w:r>
            <w:r w:rsidRPr="00FC3E0A">
              <w:rPr>
                <w:b/>
                <w:bCs/>
                <w:i/>
                <w:szCs w:val="24"/>
                <w:lang w:val="en-GB"/>
              </w:rPr>
              <w:t xml:space="preserve"> </w:t>
            </w:r>
          </w:p>
        </w:tc>
        <w:tc>
          <w:tcPr>
            <w:tcW w:w="1830" w:type="dxa"/>
            <w:tcBorders>
              <w:top w:val="single" w:sz="4" w:space="0" w:color="auto"/>
              <w:bottom w:val="single" w:sz="4" w:space="0" w:color="auto"/>
            </w:tcBorders>
          </w:tcPr>
          <w:p w14:paraId="3516AB20" w14:textId="7845B90E" w:rsidR="00440A85" w:rsidRPr="00FC3E0A" w:rsidRDefault="00440A85" w:rsidP="00E07064">
            <w:pPr>
              <w:spacing w:line="360" w:lineRule="auto"/>
              <w:jc w:val="center"/>
              <w:rPr>
                <w:b/>
                <w:bCs/>
                <w:szCs w:val="24"/>
                <w:lang w:val="en-GB"/>
              </w:rPr>
            </w:pPr>
            <w:r w:rsidRPr="00FC3E0A">
              <w:rPr>
                <w:b/>
                <w:bCs/>
                <w:i/>
                <w:szCs w:val="24"/>
                <w:lang w:val="en-GB"/>
              </w:rPr>
              <w:t>T</w:t>
            </w:r>
            <w:r w:rsidRPr="00FC3E0A">
              <w:rPr>
                <w:b/>
                <w:bCs/>
                <w:i/>
                <w:szCs w:val="24"/>
                <w:vertAlign w:val="subscript"/>
                <w:lang w:val="en-GB"/>
              </w:rPr>
              <w:t>a</w:t>
            </w:r>
            <w:r w:rsidRPr="00FC3E0A">
              <w:rPr>
                <w:b/>
                <w:bCs/>
                <w:szCs w:val="24"/>
                <w:lang w:val="en-GB"/>
              </w:rPr>
              <w:t xml:space="preserve"> </w:t>
            </w:r>
            <w:r w:rsidRPr="00FC3E0A">
              <w:rPr>
                <w:b/>
                <w:bCs/>
                <w:i/>
                <w:szCs w:val="24"/>
                <w:lang w:val="en-GB"/>
              </w:rPr>
              <w:t>&amp;</w:t>
            </w:r>
            <w:r w:rsidRPr="00FC3E0A">
              <w:rPr>
                <w:b/>
                <w:bCs/>
                <w:szCs w:val="24"/>
                <w:lang w:val="en-GB"/>
              </w:rPr>
              <w:t xml:space="preserve"> </w:t>
            </w:r>
            <w:r w:rsidR="00953B03">
              <w:rPr>
                <w:b/>
                <w:bCs/>
                <w:i/>
                <w:szCs w:val="24"/>
                <w:lang w:val="en-GB"/>
              </w:rPr>
              <w:t>D</w:t>
            </w:r>
          </w:p>
        </w:tc>
      </w:tr>
      <w:tr w:rsidR="00440A85" w:rsidRPr="0071509E" w14:paraId="3516AB28" w14:textId="77777777" w:rsidTr="00E344A9">
        <w:trPr>
          <w:jc w:val="center"/>
        </w:trPr>
        <w:tc>
          <w:tcPr>
            <w:tcW w:w="1337" w:type="dxa"/>
            <w:tcBorders>
              <w:top w:val="single" w:sz="4" w:space="0" w:color="auto"/>
            </w:tcBorders>
          </w:tcPr>
          <w:p w14:paraId="3516AB22" w14:textId="77777777" w:rsidR="00440A85" w:rsidRPr="0071509E" w:rsidRDefault="00440A85" w:rsidP="00E07064">
            <w:pPr>
              <w:spacing w:line="360" w:lineRule="auto"/>
              <w:jc w:val="both"/>
              <w:rPr>
                <w:szCs w:val="24"/>
                <w:lang w:val="en-GB"/>
              </w:rPr>
            </w:pPr>
            <w:r w:rsidRPr="0071509E">
              <w:rPr>
                <w:iCs/>
                <w:szCs w:val="24"/>
              </w:rPr>
              <w:t>Sim1</w:t>
            </w:r>
          </w:p>
        </w:tc>
        <w:tc>
          <w:tcPr>
            <w:tcW w:w="2053" w:type="dxa"/>
            <w:vMerge w:val="restart"/>
            <w:tcBorders>
              <w:top w:val="single" w:sz="4" w:space="0" w:color="auto"/>
            </w:tcBorders>
          </w:tcPr>
          <w:p w14:paraId="3516AB23" w14:textId="25D94599" w:rsidR="00440A85" w:rsidRPr="001716F6" w:rsidRDefault="00550DC6" w:rsidP="00E07064">
            <w:pPr>
              <w:spacing w:line="360" w:lineRule="auto"/>
              <w:jc w:val="center"/>
              <w:rPr>
                <w:szCs w:val="24"/>
                <w:lang w:val="pt-BR"/>
              </w:rPr>
            </w:pPr>
            <w:r w:rsidRPr="001716F6">
              <w:rPr>
                <w:szCs w:val="24"/>
                <w:lang w:val="pt-BR"/>
              </w:rPr>
              <w:t>Anomalies</w:t>
            </w:r>
          </w:p>
          <w:p w14:paraId="3516AB24" w14:textId="1B4FCDA2" w:rsidR="00440A85" w:rsidRPr="001716F6" w:rsidRDefault="00550DC6">
            <w:pPr>
              <w:spacing w:line="360" w:lineRule="auto"/>
              <w:jc w:val="center"/>
              <w:rPr>
                <w:szCs w:val="24"/>
                <w:lang w:val="pt-BR"/>
              </w:rPr>
            </w:pPr>
            <w:r w:rsidRPr="001716F6">
              <w:rPr>
                <w:szCs w:val="24"/>
                <w:lang w:val="pt-BR"/>
              </w:rPr>
              <w:t>Anomalies</w:t>
            </w:r>
          </w:p>
          <w:p w14:paraId="3516AB25" w14:textId="5F908B87" w:rsidR="00440A85" w:rsidRPr="001716F6" w:rsidRDefault="00550DC6" w:rsidP="00E07064">
            <w:pPr>
              <w:spacing w:line="360" w:lineRule="auto"/>
              <w:jc w:val="center"/>
              <w:rPr>
                <w:szCs w:val="24"/>
                <w:lang w:val="pt-BR"/>
              </w:rPr>
            </w:pPr>
            <w:r w:rsidRPr="001716F6">
              <w:rPr>
                <w:szCs w:val="24"/>
                <w:lang w:val="pt-BR"/>
              </w:rPr>
              <w:t xml:space="preserve">No </w:t>
            </w:r>
            <w:r w:rsidR="00465220" w:rsidRPr="001716F6">
              <w:rPr>
                <w:szCs w:val="24"/>
                <w:lang w:val="pt-BR"/>
              </w:rPr>
              <w:t>A</w:t>
            </w:r>
            <w:r w:rsidRPr="001716F6">
              <w:rPr>
                <w:szCs w:val="24"/>
                <w:lang w:val="pt-BR"/>
              </w:rPr>
              <w:t>nomalies</w:t>
            </w:r>
          </w:p>
          <w:p w14:paraId="3516AB26" w14:textId="4745A56A" w:rsidR="00440A85" w:rsidRPr="001716F6" w:rsidRDefault="00550DC6" w:rsidP="00E07064">
            <w:pPr>
              <w:spacing w:line="360" w:lineRule="auto"/>
              <w:jc w:val="center"/>
              <w:rPr>
                <w:szCs w:val="24"/>
                <w:lang w:val="pt-BR"/>
              </w:rPr>
            </w:pPr>
            <w:r w:rsidRPr="001716F6">
              <w:rPr>
                <w:szCs w:val="24"/>
                <w:lang w:val="pt-BR"/>
              </w:rPr>
              <w:t xml:space="preserve">No </w:t>
            </w:r>
            <w:r w:rsidR="00465220" w:rsidRPr="001716F6">
              <w:rPr>
                <w:szCs w:val="24"/>
                <w:lang w:val="pt-BR"/>
              </w:rPr>
              <w:t>A</w:t>
            </w:r>
            <w:r w:rsidRPr="001716F6">
              <w:rPr>
                <w:szCs w:val="24"/>
                <w:lang w:val="pt-BR"/>
              </w:rPr>
              <w:t>nomalies</w:t>
            </w:r>
          </w:p>
        </w:tc>
        <w:tc>
          <w:tcPr>
            <w:tcW w:w="1830" w:type="dxa"/>
            <w:tcBorders>
              <w:top w:val="single" w:sz="4" w:space="0" w:color="auto"/>
            </w:tcBorders>
          </w:tcPr>
          <w:p w14:paraId="3516AB27" w14:textId="55E7B883" w:rsidR="00440A85" w:rsidRPr="0071509E" w:rsidRDefault="00550DC6">
            <w:pPr>
              <w:spacing w:line="360" w:lineRule="auto"/>
              <w:jc w:val="center"/>
              <w:rPr>
                <w:szCs w:val="24"/>
                <w:lang w:val="en-GB"/>
              </w:rPr>
            </w:pPr>
            <w:r>
              <w:rPr>
                <w:szCs w:val="24"/>
              </w:rPr>
              <w:t>Anomalies</w:t>
            </w:r>
          </w:p>
        </w:tc>
      </w:tr>
      <w:tr w:rsidR="00440A85" w:rsidRPr="0071509E" w14:paraId="3516AB2C" w14:textId="77777777" w:rsidTr="00E344A9">
        <w:trPr>
          <w:jc w:val="center"/>
        </w:trPr>
        <w:tc>
          <w:tcPr>
            <w:tcW w:w="1337" w:type="dxa"/>
          </w:tcPr>
          <w:p w14:paraId="3516AB29" w14:textId="77777777" w:rsidR="00440A85" w:rsidRPr="0071509E" w:rsidRDefault="00440A85" w:rsidP="00E07064">
            <w:pPr>
              <w:spacing w:line="360" w:lineRule="auto"/>
              <w:jc w:val="both"/>
              <w:rPr>
                <w:i/>
                <w:iCs/>
                <w:szCs w:val="24"/>
                <w:lang w:val="en-GB"/>
              </w:rPr>
            </w:pPr>
            <w:r w:rsidRPr="0071509E">
              <w:rPr>
                <w:iCs/>
                <w:szCs w:val="24"/>
              </w:rPr>
              <w:t>Sim2</w:t>
            </w:r>
          </w:p>
        </w:tc>
        <w:tc>
          <w:tcPr>
            <w:tcW w:w="2053" w:type="dxa"/>
            <w:vMerge/>
          </w:tcPr>
          <w:p w14:paraId="3516AB2A" w14:textId="77777777" w:rsidR="00440A85" w:rsidRPr="0071509E" w:rsidRDefault="00440A85" w:rsidP="00E07064">
            <w:pPr>
              <w:spacing w:line="360" w:lineRule="auto"/>
              <w:jc w:val="center"/>
              <w:rPr>
                <w:szCs w:val="24"/>
                <w:lang w:val="en-GB"/>
              </w:rPr>
            </w:pPr>
          </w:p>
        </w:tc>
        <w:tc>
          <w:tcPr>
            <w:tcW w:w="1830" w:type="dxa"/>
          </w:tcPr>
          <w:p w14:paraId="3516AB2B" w14:textId="359E4DBC" w:rsidR="00440A85" w:rsidRPr="0071509E" w:rsidRDefault="00550DC6" w:rsidP="00E07064">
            <w:pPr>
              <w:spacing w:line="360" w:lineRule="auto"/>
              <w:jc w:val="center"/>
              <w:rPr>
                <w:szCs w:val="24"/>
                <w:lang w:val="en-GB"/>
              </w:rPr>
            </w:pPr>
            <w:r>
              <w:rPr>
                <w:szCs w:val="24"/>
              </w:rPr>
              <w:t xml:space="preserve">No </w:t>
            </w:r>
            <w:r w:rsidR="00465220">
              <w:rPr>
                <w:szCs w:val="24"/>
              </w:rPr>
              <w:t>A</w:t>
            </w:r>
            <w:r>
              <w:rPr>
                <w:szCs w:val="24"/>
              </w:rPr>
              <w:t>nomalies</w:t>
            </w:r>
          </w:p>
        </w:tc>
      </w:tr>
      <w:tr w:rsidR="00440A85" w:rsidRPr="0071509E" w14:paraId="3516AB30" w14:textId="77777777" w:rsidTr="00E344A9">
        <w:trPr>
          <w:jc w:val="center"/>
        </w:trPr>
        <w:tc>
          <w:tcPr>
            <w:tcW w:w="1337" w:type="dxa"/>
          </w:tcPr>
          <w:p w14:paraId="3516AB2D" w14:textId="77777777" w:rsidR="00440A85" w:rsidRPr="0071509E" w:rsidRDefault="00440A85" w:rsidP="00E07064">
            <w:pPr>
              <w:spacing w:line="360" w:lineRule="auto"/>
              <w:jc w:val="both"/>
              <w:rPr>
                <w:i/>
                <w:iCs/>
                <w:szCs w:val="24"/>
                <w:lang w:val="en-GB"/>
              </w:rPr>
            </w:pPr>
            <w:r w:rsidRPr="0071509E">
              <w:rPr>
                <w:iCs/>
                <w:szCs w:val="24"/>
              </w:rPr>
              <w:t>Sim3</w:t>
            </w:r>
          </w:p>
        </w:tc>
        <w:tc>
          <w:tcPr>
            <w:tcW w:w="2053" w:type="dxa"/>
            <w:vMerge/>
          </w:tcPr>
          <w:p w14:paraId="3516AB2E" w14:textId="77777777" w:rsidR="00440A85" w:rsidRPr="0071509E" w:rsidRDefault="00440A85" w:rsidP="00E07064">
            <w:pPr>
              <w:spacing w:line="360" w:lineRule="auto"/>
              <w:jc w:val="center"/>
              <w:rPr>
                <w:szCs w:val="24"/>
                <w:lang w:val="en-GB"/>
              </w:rPr>
            </w:pPr>
          </w:p>
        </w:tc>
        <w:tc>
          <w:tcPr>
            <w:tcW w:w="1830" w:type="dxa"/>
          </w:tcPr>
          <w:p w14:paraId="3516AB2F" w14:textId="1518FE77" w:rsidR="00440A85" w:rsidRPr="0071509E" w:rsidRDefault="00550DC6">
            <w:pPr>
              <w:spacing w:line="360" w:lineRule="auto"/>
              <w:jc w:val="center"/>
              <w:rPr>
                <w:szCs w:val="24"/>
                <w:lang w:val="en-GB"/>
              </w:rPr>
            </w:pPr>
            <w:r>
              <w:rPr>
                <w:szCs w:val="24"/>
              </w:rPr>
              <w:t>Anomalies</w:t>
            </w:r>
          </w:p>
        </w:tc>
      </w:tr>
      <w:tr w:rsidR="00440A85" w:rsidRPr="0071509E" w14:paraId="3516AB34" w14:textId="77777777" w:rsidTr="00E344A9">
        <w:trPr>
          <w:jc w:val="center"/>
        </w:trPr>
        <w:tc>
          <w:tcPr>
            <w:tcW w:w="1337" w:type="dxa"/>
            <w:tcBorders>
              <w:bottom w:val="single" w:sz="4" w:space="0" w:color="auto"/>
            </w:tcBorders>
          </w:tcPr>
          <w:p w14:paraId="3516AB31" w14:textId="77777777" w:rsidR="00440A85" w:rsidRPr="0071509E" w:rsidRDefault="00440A85" w:rsidP="00E07064">
            <w:pPr>
              <w:spacing w:line="360" w:lineRule="auto"/>
              <w:jc w:val="both"/>
              <w:rPr>
                <w:i/>
                <w:iCs/>
                <w:szCs w:val="24"/>
                <w:lang w:val="en-GB"/>
              </w:rPr>
            </w:pPr>
            <w:r w:rsidRPr="0071509E">
              <w:rPr>
                <w:iCs/>
                <w:szCs w:val="24"/>
              </w:rPr>
              <w:t>Sim4</w:t>
            </w:r>
          </w:p>
        </w:tc>
        <w:tc>
          <w:tcPr>
            <w:tcW w:w="2053" w:type="dxa"/>
            <w:vMerge/>
            <w:tcBorders>
              <w:bottom w:val="single" w:sz="4" w:space="0" w:color="auto"/>
            </w:tcBorders>
          </w:tcPr>
          <w:p w14:paraId="3516AB32" w14:textId="77777777" w:rsidR="00440A85" w:rsidRPr="0071509E" w:rsidRDefault="00440A85" w:rsidP="00E07064">
            <w:pPr>
              <w:spacing w:line="360" w:lineRule="auto"/>
              <w:jc w:val="center"/>
              <w:rPr>
                <w:szCs w:val="24"/>
                <w:lang w:val="en-GB"/>
              </w:rPr>
            </w:pPr>
          </w:p>
        </w:tc>
        <w:tc>
          <w:tcPr>
            <w:tcW w:w="1830" w:type="dxa"/>
            <w:tcBorders>
              <w:bottom w:val="single" w:sz="4" w:space="0" w:color="auto"/>
            </w:tcBorders>
          </w:tcPr>
          <w:p w14:paraId="3516AB33" w14:textId="7AE6D48C" w:rsidR="00440A85" w:rsidRPr="0071509E" w:rsidRDefault="00550DC6" w:rsidP="00E07064">
            <w:pPr>
              <w:spacing w:line="360" w:lineRule="auto"/>
              <w:jc w:val="center"/>
              <w:rPr>
                <w:szCs w:val="24"/>
                <w:lang w:val="en-GB"/>
              </w:rPr>
            </w:pPr>
            <w:r>
              <w:rPr>
                <w:szCs w:val="24"/>
              </w:rPr>
              <w:t xml:space="preserve">No </w:t>
            </w:r>
            <w:r w:rsidR="00465220">
              <w:rPr>
                <w:szCs w:val="24"/>
              </w:rPr>
              <w:t>A</w:t>
            </w:r>
            <w:r>
              <w:rPr>
                <w:szCs w:val="24"/>
              </w:rPr>
              <w:t>nomalies</w:t>
            </w:r>
          </w:p>
        </w:tc>
      </w:tr>
    </w:tbl>
    <w:p w14:paraId="3516AB35" w14:textId="6A9C1CF3" w:rsidR="00440A85" w:rsidRPr="0071509E" w:rsidRDefault="00440A85" w:rsidP="00440A85">
      <w:pPr>
        <w:spacing w:line="360" w:lineRule="auto"/>
        <w:jc w:val="both"/>
        <w:rPr>
          <w:i/>
          <w:szCs w:val="24"/>
        </w:rPr>
      </w:pPr>
      <w:r w:rsidRPr="0071509E">
        <w:rPr>
          <w:bCs/>
          <w:i/>
          <w:szCs w:val="24"/>
        </w:rPr>
        <w:t>Note: “</w:t>
      </w:r>
      <w:r w:rsidR="003D6846">
        <w:rPr>
          <w:bCs/>
          <w:i/>
          <w:szCs w:val="24"/>
        </w:rPr>
        <w:t>Anomalies</w:t>
      </w:r>
      <w:r w:rsidRPr="0071509E">
        <w:rPr>
          <w:bCs/>
          <w:i/>
          <w:szCs w:val="24"/>
        </w:rPr>
        <w:t xml:space="preserve">” refers to the default meteorological input from the </w:t>
      </w:r>
      <w:r w:rsidRPr="0071509E">
        <w:rPr>
          <w:i/>
          <w:szCs w:val="24"/>
        </w:rPr>
        <w:t>1900-2016 CRU-NCEP dataset. “</w:t>
      </w:r>
      <w:r w:rsidR="003D6846">
        <w:rPr>
          <w:i/>
          <w:szCs w:val="24"/>
        </w:rPr>
        <w:t xml:space="preserve">No </w:t>
      </w:r>
      <w:r w:rsidR="00465220">
        <w:rPr>
          <w:i/>
          <w:szCs w:val="24"/>
        </w:rPr>
        <w:t>A</w:t>
      </w:r>
      <w:r w:rsidR="003D6846" w:rsidRPr="004244FF">
        <w:rPr>
          <w:i/>
          <w:szCs w:val="24"/>
        </w:rPr>
        <w:t>nomalies</w:t>
      </w:r>
      <w:r w:rsidRPr="0071509E">
        <w:rPr>
          <w:i/>
          <w:szCs w:val="24"/>
        </w:rPr>
        <w:t xml:space="preserve">” refers to the </w:t>
      </w:r>
      <w:r w:rsidRPr="0071509E">
        <w:rPr>
          <w:bCs/>
          <w:i/>
          <w:szCs w:val="24"/>
        </w:rPr>
        <w:t xml:space="preserve">meteorological input without climatic anomalies, represented by an </w:t>
      </w:r>
      <w:r w:rsidRPr="0071509E">
        <w:rPr>
          <w:i/>
          <w:szCs w:val="24"/>
        </w:rPr>
        <w:t>average year from the 190</w:t>
      </w:r>
      <w:r w:rsidR="00465220">
        <w:rPr>
          <w:i/>
          <w:szCs w:val="24"/>
        </w:rPr>
        <w:t>1</w:t>
      </w:r>
      <w:r w:rsidRPr="0071509E">
        <w:rPr>
          <w:i/>
          <w:szCs w:val="24"/>
        </w:rPr>
        <w:t>-2016 CRU-NCEP dataset.</w:t>
      </w:r>
    </w:p>
    <w:p w14:paraId="70D5813D" w14:textId="12DA97E1" w:rsidR="005F3A6C" w:rsidRDefault="005F3A6C" w:rsidP="00440A85">
      <w:pPr>
        <w:spacing w:line="360" w:lineRule="auto"/>
        <w:jc w:val="both"/>
        <w:rPr>
          <w:b/>
          <w:szCs w:val="24"/>
        </w:rPr>
      </w:pPr>
    </w:p>
    <w:p w14:paraId="29A62CD5" w14:textId="2A749333" w:rsidR="00DE55D0" w:rsidRDefault="00DE55D0" w:rsidP="00DE55D0">
      <w:pPr>
        <w:spacing w:line="360" w:lineRule="auto"/>
        <w:jc w:val="both"/>
        <w:rPr>
          <w:szCs w:val="24"/>
        </w:rPr>
      </w:pPr>
      <w:r>
        <w:rPr>
          <w:b/>
          <w:bCs/>
          <w:szCs w:val="24"/>
        </w:rPr>
        <w:lastRenderedPageBreak/>
        <w:t xml:space="preserve">Table </w:t>
      </w:r>
      <w:r w:rsidR="00CD7929">
        <w:rPr>
          <w:b/>
          <w:bCs/>
          <w:szCs w:val="24"/>
        </w:rPr>
        <w:t>S4</w:t>
      </w:r>
      <w:r>
        <w:rPr>
          <w:b/>
          <w:bCs/>
          <w:szCs w:val="24"/>
        </w:rPr>
        <w:t>.</w:t>
      </w:r>
      <w:r>
        <w:rPr>
          <w:szCs w:val="24"/>
        </w:rPr>
        <w:t xml:space="preserve"> Parameters from the Unified Stomatal Optimisation model </w:t>
      </w:r>
      <w:r w:rsidR="00436E28" w:rsidRPr="00436E28">
        <w:rPr>
          <w:i/>
          <w:szCs w:val="24"/>
        </w:rPr>
        <w:t>(</w:t>
      </w:r>
      <w:r w:rsidR="00436E28" w:rsidRPr="004179B8">
        <w:rPr>
          <w:szCs w:val="24"/>
        </w:rPr>
        <w:t>USO</w:t>
      </w:r>
      <w:r w:rsidR="00436E28" w:rsidRPr="00436E28">
        <w:rPr>
          <w:szCs w:val="24"/>
        </w:rPr>
        <w:t>)</w:t>
      </w:r>
      <w:r w:rsidR="00436E28">
        <w:rPr>
          <w:i/>
          <w:szCs w:val="24"/>
        </w:rPr>
        <w:t xml:space="preserve"> </w:t>
      </w:r>
      <w:r>
        <w:rPr>
          <w:szCs w:val="24"/>
        </w:rPr>
        <w:t>estimated using the SOX</w:t>
      </w:r>
      <w:r w:rsidR="00E1682B">
        <w:rPr>
          <w:szCs w:val="24"/>
        </w:rPr>
        <w:t xml:space="preserve"> </w:t>
      </w:r>
      <w:r w:rsidR="00E344A9">
        <w:rPr>
          <w:szCs w:val="24"/>
        </w:rPr>
        <w:t xml:space="preserve">and </w:t>
      </w:r>
      <w:r w:rsidR="00E344A9">
        <w:rPr>
          <w:i/>
          <w:szCs w:val="24"/>
        </w:rPr>
        <w:t>β</w:t>
      </w:r>
      <w:r w:rsidR="00E344A9">
        <w:rPr>
          <w:szCs w:val="24"/>
        </w:rPr>
        <w:t xml:space="preserve">-models </w:t>
      </w:r>
      <w:r w:rsidR="00E1682B">
        <w:rPr>
          <w:szCs w:val="24"/>
        </w:rPr>
        <w:t>output</w:t>
      </w:r>
      <w:r w:rsidR="00E344A9" w:rsidRPr="00E344A9">
        <w:rPr>
          <w:szCs w:val="24"/>
        </w:rPr>
        <w:t xml:space="preserve"> </w:t>
      </w:r>
      <w:r w:rsidR="00E344A9">
        <w:rPr>
          <w:szCs w:val="24"/>
        </w:rPr>
        <w:t>from the simulations conducted at the control and throughfall exclusion (TFE) plots in the Caxiuanã National Forest</w:t>
      </w:r>
      <w:r w:rsidR="004179B8">
        <w:rPr>
          <w:szCs w:val="24"/>
        </w:rPr>
        <w:t xml:space="preserve"> (Fig. 3)</w:t>
      </w:r>
      <w:r w:rsidR="00E344A9">
        <w:rPr>
          <w:szCs w:val="24"/>
        </w:rPr>
        <w:t>.</w:t>
      </w:r>
      <w:r>
        <w:rPr>
          <w:szCs w:val="24"/>
        </w:rPr>
        <w:t xml:space="preserve"> </w:t>
      </w:r>
    </w:p>
    <w:tbl>
      <w:tblPr>
        <w:tblStyle w:val="TableGrid"/>
        <w:tblW w:w="66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350"/>
        <w:gridCol w:w="1980"/>
        <w:gridCol w:w="1710"/>
      </w:tblGrid>
      <w:tr w:rsidR="00DE55D0" w14:paraId="3E87F016" w14:textId="77777777" w:rsidTr="00E2590A">
        <w:trPr>
          <w:jc w:val="center"/>
        </w:trPr>
        <w:tc>
          <w:tcPr>
            <w:tcW w:w="1620" w:type="dxa"/>
            <w:tcBorders>
              <w:top w:val="single" w:sz="4" w:space="0" w:color="auto"/>
              <w:left w:val="nil"/>
              <w:bottom w:val="single" w:sz="4" w:space="0" w:color="auto"/>
              <w:right w:val="nil"/>
            </w:tcBorders>
            <w:hideMark/>
          </w:tcPr>
          <w:p w14:paraId="6712AEF9" w14:textId="77777777" w:rsidR="00DE55D0" w:rsidRDefault="00DE55D0" w:rsidP="00E344A9">
            <w:pPr>
              <w:spacing w:line="360" w:lineRule="auto"/>
              <w:jc w:val="center"/>
              <w:rPr>
                <w:rFonts w:eastAsiaTheme="minorHAnsi"/>
                <w:b/>
                <w:bCs/>
                <w:sz w:val="22"/>
                <w:szCs w:val="24"/>
                <w:lang w:eastAsia="en-US"/>
              </w:rPr>
            </w:pPr>
            <w:r>
              <w:rPr>
                <w:b/>
                <w:bCs/>
                <w:szCs w:val="24"/>
              </w:rPr>
              <w:t>Model</w:t>
            </w:r>
          </w:p>
        </w:tc>
        <w:tc>
          <w:tcPr>
            <w:tcW w:w="1350" w:type="dxa"/>
            <w:tcBorders>
              <w:top w:val="single" w:sz="4" w:space="0" w:color="auto"/>
              <w:left w:val="nil"/>
              <w:bottom w:val="single" w:sz="4" w:space="0" w:color="auto"/>
              <w:right w:val="nil"/>
            </w:tcBorders>
            <w:hideMark/>
          </w:tcPr>
          <w:p w14:paraId="52CF6281" w14:textId="77777777" w:rsidR="00DE55D0" w:rsidRDefault="00DE55D0" w:rsidP="00E344A9">
            <w:pPr>
              <w:spacing w:line="360" w:lineRule="auto"/>
              <w:jc w:val="center"/>
              <w:rPr>
                <w:b/>
                <w:bCs/>
                <w:szCs w:val="24"/>
              </w:rPr>
            </w:pPr>
            <w:r>
              <w:rPr>
                <w:b/>
                <w:bCs/>
                <w:szCs w:val="24"/>
              </w:rPr>
              <w:t>Parameter</w:t>
            </w:r>
          </w:p>
        </w:tc>
        <w:tc>
          <w:tcPr>
            <w:tcW w:w="1980" w:type="dxa"/>
            <w:tcBorders>
              <w:top w:val="single" w:sz="4" w:space="0" w:color="auto"/>
              <w:left w:val="nil"/>
              <w:bottom w:val="single" w:sz="4" w:space="0" w:color="auto"/>
              <w:right w:val="nil"/>
            </w:tcBorders>
            <w:hideMark/>
          </w:tcPr>
          <w:p w14:paraId="7902E180" w14:textId="77777777" w:rsidR="00DE55D0" w:rsidRDefault="00DE55D0">
            <w:pPr>
              <w:spacing w:line="360" w:lineRule="auto"/>
              <w:jc w:val="center"/>
              <w:rPr>
                <w:b/>
                <w:bCs/>
                <w:szCs w:val="24"/>
              </w:rPr>
            </w:pPr>
            <w:r>
              <w:rPr>
                <w:b/>
                <w:bCs/>
                <w:szCs w:val="24"/>
              </w:rPr>
              <w:t>Control(±SE)</w:t>
            </w:r>
          </w:p>
        </w:tc>
        <w:tc>
          <w:tcPr>
            <w:tcW w:w="1710" w:type="dxa"/>
            <w:tcBorders>
              <w:top w:val="single" w:sz="4" w:space="0" w:color="auto"/>
              <w:left w:val="nil"/>
              <w:bottom w:val="single" w:sz="4" w:space="0" w:color="auto"/>
              <w:right w:val="nil"/>
            </w:tcBorders>
            <w:hideMark/>
          </w:tcPr>
          <w:p w14:paraId="7E91E841" w14:textId="77777777" w:rsidR="00DE55D0" w:rsidRDefault="00DE55D0">
            <w:pPr>
              <w:spacing w:line="360" w:lineRule="auto"/>
              <w:jc w:val="center"/>
              <w:rPr>
                <w:b/>
                <w:bCs/>
                <w:szCs w:val="24"/>
              </w:rPr>
            </w:pPr>
            <w:r>
              <w:rPr>
                <w:b/>
                <w:bCs/>
                <w:szCs w:val="24"/>
              </w:rPr>
              <w:t>TFE(±SE)</w:t>
            </w:r>
          </w:p>
        </w:tc>
      </w:tr>
      <w:tr w:rsidR="00DE55D0" w14:paraId="1E5E47DF" w14:textId="77777777" w:rsidTr="00E2590A">
        <w:trPr>
          <w:jc w:val="center"/>
        </w:trPr>
        <w:tc>
          <w:tcPr>
            <w:tcW w:w="1620" w:type="dxa"/>
            <w:vMerge w:val="restart"/>
            <w:tcBorders>
              <w:top w:val="single" w:sz="4" w:space="0" w:color="auto"/>
              <w:left w:val="nil"/>
              <w:bottom w:val="nil"/>
              <w:right w:val="nil"/>
            </w:tcBorders>
            <w:hideMark/>
          </w:tcPr>
          <w:p w14:paraId="00125A2E" w14:textId="77777777" w:rsidR="00DE55D0" w:rsidRDefault="00DE55D0" w:rsidP="00E344A9">
            <w:pPr>
              <w:spacing w:line="360" w:lineRule="auto"/>
              <w:jc w:val="center"/>
              <w:rPr>
                <w:b/>
                <w:bCs/>
                <w:szCs w:val="24"/>
              </w:rPr>
            </w:pPr>
            <w:r>
              <w:rPr>
                <w:b/>
                <w:bCs/>
                <w:szCs w:val="24"/>
              </w:rPr>
              <w:t>SOX</w:t>
            </w:r>
          </w:p>
          <w:p w14:paraId="5B1A568C" w14:textId="13708939" w:rsidR="00DE55D0" w:rsidRDefault="00DE55D0" w:rsidP="00E344A9">
            <w:pPr>
              <w:spacing w:line="360" w:lineRule="auto"/>
              <w:jc w:val="center"/>
              <w:rPr>
                <w:b/>
                <w:bCs/>
                <w:szCs w:val="24"/>
              </w:rPr>
            </w:pPr>
            <w:r>
              <w:rPr>
                <w:b/>
                <w:bCs/>
                <w:szCs w:val="24"/>
              </w:rPr>
              <w:t>(</w:t>
            </w:r>
            <w:r w:rsidR="00E2590A">
              <w:rPr>
                <w:b/>
                <w:bCs/>
                <w:szCs w:val="24"/>
              </w:rPr>
              <w:t xml:space="preserve">fixed </w:t>
            </w:r>
            <w:r w:rsidRPr="00E2590A">
              <w:rPr>
                <w:b/>
                <w:bCs/>
                <w:i/>
                <w:szCs w:val="24"/>
              </w:rPr>
              <w:t>a</w:t>
            </w:r>
            <w:r>
              <w:rPr>
                <w:b/>
                <w:bCs/>
                <w:szCs w:val="24"/>
              </w:rPr>
              <w:t>)</w:t>
            </w:r>
          </w:p>
        </w:tc>
        <w:tc>
          <w:tcPr>
            <w:tcW w:w="1350" w:type="dxa"/>
            <w:tcBorders>
              <w:top w:val="single" w:sz="4" w:space="0" w:color="auto"/>
              <w:left w:val="nil"/>
              <w:bottom w:val="nil"/>
              <w:right w:val="nil"/>
            </w:tcBorders>
            <w:hideMark/>
          </w:tcPr>
          <w:p w14:paraId="1C772FC6" w14:textId="1548B21B" w:rsidR="00DE55D0" w:rsidRDefault="00DE55D0" w:rsidP="00E344A9">
            <w:pPr>
              <w:spacing w:line="360" w:lineRule="auto"/>
              <w:jc w:val="center"/>
              <w:rPr>
                <w:szCs w:val="24"/>
              </w:rPr>
            </w:pPr>
            <w:r>
              <w:rPr>
                <w:i/>
                <w:iCs/>
                <w:szCs w:val="24"/>
              </w:rPr>
              <w:t>g</w:t>
            </w:r>
            <w:r>
              <w:rPr>
                <w:i/>
                <w:iCs/>
                <w:szCs w:val="24"/>
                <w:vertAlign w:val="subscript"/>
              </w:rPr>
              <w:t>0</w:t>
            </w:r>
          </w:p>
        </w:tc>
        <w:tc>
          <w:tcPr>
            <w:tcW w:w="1980" w:type="dxa"/>
            <w:tcBorders>
              <w:top w:val="single" w:sz="4" w:space="0" w:color="auto"/>
              <w:left w:val="nil"/>
              <w:bottom w:val="nil"/>
              <w:right w:val="nil"/>
            </w:tcBorders>
            <w:hideMark/>
          </w:tcPr>
          <w:p w14:paraId="23708A29" w14:textId="77777777" w:rsidR="00DE55D0" w:rsidRDefault="00DE55D0">
            <w:pPr>
              <w:spacing w:line="360" w:lineRule="auto"/>
              <w:jc w:val="center"/>
              <w:rPr>
                <w:szCs w:val="24"/>
              </w:rPr>
            </w:pPr>
            <w:r>
              <w:rPr>
                <w:szCs w:val="24"/>
              </w:rPr>
              <w:t>0.09(</w:t>
            </w:r>
            <w:r>
              <w:rPr>
                <w:bCs/>
                <w:szCs w:val="24"/>
              </w:rPr>
              <w:t>±0.00)</w:t>
            </w:r>
          </w:p>
        </w:tc>
        <w:tc>
          <w:tcPr>
            <w:tcW w:w="1710" w:type="dxa"/>
            <w:tcBorders>
              <w:top w:val="single" w:sz="4" w:space="0" w:color="auto"/>
              <w:left w:val="nil"/>
              <w:bottom w:val="nil"/>
              <w:right w:val="nil"/>
            </w:tcBorders>
            <w:hideMark/>
          </w:tcPr>
          <w:p w14:paraId="2F710875" w14:textId="77777777" w:rsidR="00DE55D0" w:rsidRDefault="00DE55D0">
            <w:pPr>
              <w:spacing w:line="360" w:lineRule="auto"/>
              <w:jc w:val="center"/>
              <w:rPr>
                <w:szCs w:val="24"/>
              </w:rPr>
            </w:pPr>
            <w:r>
              <w:rPr>
                <w:szCs w:val="24"/>
              </w:rPr>
              <w:t>0.04(</w:t>
            </w:r>
            <w:r>
              <w:rPr>
                <w:bCs/>
                <w:szCs w:val="24"/>
              </w:rPr>
              <w:t>±0.00)</w:t>
            </w:r>
          </w:p>
        </w:tc>
      </w:tr>
      <w:tr w:rsidR="00DE55D0" w14:paraId="43E0C890" w14:textId="77777777" w:rsidTr="00E2590A">
        <w:trPr>
          <w:jc w:val="center"/>
        </w:trPr>
        <w:tc>
          <w:tcPr>
            <w:tcW w:w="1620" w:type="dxa"/>
            <w:vMerge/>
            <w:tcBorders>
              <w:top w:val="single" w:sz="4" w:space="0" w:color="auto"/>
              <w:left w:val="nil"/>
              <w:bottom w:val="nil"/>
              <w:right w:val="nil"/>
            </w:tcBorders>
            <w:vAlign w:val="center"/>
            <w:hideMark/>
          </w:tcPr>
          <w:p w14:paraId="21F807E9" w14:textId="77777777" w:rsidR="00DE55D0" w:rsidRDefault="00DE55D0" w:rsidP="00E344A9">
            <w:pPr>
              <w:jc w:val="center"/>
              <w:rPr>
                <w:b/>
                <w:bCs/>
                <w:sz w:val="22"/>
                <w:szCs w:val="24"/>
              </w:rPr>
            </w:pPr>
          </w:p>
        </w:tc>
        <w:tc>
          <w:tcPr>
            <w:tcW w:w="1350" w:type="dxa"/>
            <w:hideMark/>
          </w:tcPr>
          <w:p w14:paraId="43543D93" w14:textId="20E56577" w:rsidR="00DE55D0" w:rsidRDefault="00DE55D0" w:rsidP="00E344A9">
            <w:pPr>
              <w:spacing w:line="360" w:lineRule="auto"/>
              <w:jc w:val="center"/>
              <w:rPr>
                <w:szCs w:val="24"/>
              </w:rPr>
            </w:pPr>
            <w:r>
              <w:rPr>
                <w:i/>
                <w:iCs/>
                <w:szCs w:val="24"/>
              </w:rPr>
              <w:t>g</w:t>
            </w:r>
            <w:r>
              <w:rPr>
                <w:szCs w:val="24"/>
                <w:vertAlign w:val="subscript"/>
              </w:rPr>
              <w:t>1</w:t>
            </w:r>
          </w:p>
        </w:tc>
        <w:tc>
          <w:tcPr>
            <w:tcW w:w="1980" w:type="dxa"/>
            <w:hideMark/>
          </w:tcPr>
          <w:p w14:paraId="11CB18A1" w14:textId="77777777" w:rsidR="00DE55D0" w:rsidRDefault="00DE55D0">
            <w:pPr>
              <w:spacing w:line="360" w:lineRule="auto"/>
              <w:jc w:val="center"/>
              <w:rPr>
                <w:bCs/>
                <w:szCs w:val="24"/>
              </w:rPr>
            </w:pPr>
            <w:r>
              <w:rPr>
                <w:szCs w:val="24"/>
              </w:rPr>
              <w:t>5.74(</w:t>
            </w:r>
            <w:r>
              <w:rPr>
                <w:bCs/>
                <w:szCs w:val="24"/>
              </w:rPr>
              <w:t>±0.04)</w:t>
            </w:r>
          </w:p>
        </w:tc>
        <w:tc>
          <w:tcPr>
            <w:tcW w:w="1710" w:type="dxa"/>
            <w:hideMark/>
          </w:tcPr>
          <w:p w14:paraId="377CA55E" w14:textId="77777777" w:rsidR="00DE55D0" w:rsidRDefault="00DE55D0">
            <w:pPr>
              <w:spacing w:line="360" w:lineRule="auto"/>
              <w:jc w:val="center"/>
              <w:rPr>
                <w:szCs w:val="24"/>
              </w:rPr>
            </w:pPr>
            <w:r>
              <w:rPr>
                <w:szCs w:val="24"/>
              </w:rPr>
              <w:t>3.28(</w:t>
            </w:r>
            <w:r>
              <w:rPr>
                <w:bCs/>
                <w:szCs w:val="24"/>
              </w:rPr>
              <w:t>±0.01)</w:t>
            </w:r>
          </w:p>
        </w:tc>
      </w:tr>
      <w:tr w:rsidR="00DE55D0" w14:paraId="07F8DC4E" w14:textId="77777777" w:rsidTr="00E2590A">
        <w:trPr>
          <w:jc w:val="center"/>
        </w:trPr>
        <w:tc>
          <w:tcPr>
            <w:tcW w:w="1620" w:type="dxa"/>
            <w:vMerge w:val="restart"/>
            <w:tcBorders>
              <w:top w:val="single" w:sz="4" w:space="0" w:color="auto"/>
              <w:left w:val="nil"/>
              <w:bottom w:val="single" w:sz="4" w:space="0" w:color="auto"/>
              <w:right w:val="nil"/>
            </w:tcBorders>
            <w:hideMark/>
          </w:tcPr>
          <w:p w14:paraId="2DE1C66D" w14:textId="77777777" w:rsidR="00DE55D0" w:rsidRDefault="00DE55D0" w:rsidP="00E344A9">
            <w:pPr>
              <w:spacing w:line="360" w:lineRule="auto"/>
              <w:jc w:val="center"/>
              <w:rPr>
                <w:b/>
                <w:bCs/>
                <w:szCs w:val="24"/>
              </w:rPr>
            </w:pPr>
            <w:r>
              <w:rPr>
                <w:b/>
                <w:bCs/>
                <w:szCs w:val="24"/>
              </w:rPr>
              <w:t>SOX</w:t>
            </w:r>
          </w:p>
          <w:p w14:paraId="49861079" w14:textId="7387F8FC" w:rsidR="00DE55D0" w:rsidRDefault="00DE55D0" w:rsidP="00E344A9">
            <w:pPr>
              <w:spacing w:line="360" w:lineRule="auto"/>
              <w:jc w:val="center"/>
              <w:rPr>
                <w:b/>
                <w:bCs/>
                <w:szCs w:val="24"/>
              </w:rPr>
            </w:pPr>
            <w:r>
              <w:rPr>
                <w:b/>
                <w:bCs/>
                <w:szCs w:val="24"/>
              </w:rPr>
              <w:t>(</w:t>
            </w:r>
            <w:r w:rsidR="00E2590A">
              <w:rPr>
                <w:b/>
                <w:bCs/>
                <w:szCs w:val="24"/>
              </w:rPr>
              <w:t xml:space="preserve">optimized </w:t>
            </w:r>
            <w:r w:rsidRPr="00E2590A">
              <w:rPr>
                <w:b/>
                <w:bCs/>
                <w:i/>
                <w:szCs w:val="24"/>
              </w:rPr>
              <w:t>a</w:t>
            </w:r>
            <w:r>
              <w:rPr>
                <w:b/>
                <w:bCs/>
                <w:szCs w:val="24"/>
              </w:rPr>
              <w:t>)</w:t>
            </w:r>
          </w:p>
        </w:tc>
        <w:tc>
          <w:tcPr>
            <w:tcW w:w="1350" w:type="dxa"/>
            <w:tcBorders>
              <w:top w:val="single" w:sz="4" w:space="0" w:color="auto"/>
              <w:left w:val="nil"/>
              <w:bottom w:val="nil"/>
              <w:right w:val="nil"/>
            </w:tcBorders>
            <w:hideMark/>
          </w:tcPr>
          <w:p w14:paraId="3732D9BC" w14:textId="774EB55B" w:rsidR="00DE55D0" w:rsidRDefault="00DE55D0" w:rsidP="00E344A9">
            <w:pPr>
              <w:spacing w:line="360" w:lineRule="auto"/>
              <w:jc w:val="center"/>
              <w:rPr>
                <w:szCs w:val="24"/>
              </w:rPr>
            </w:pPr>
            <w:r>
              <w:rPr>
                <w:i/>
                <w:iCs/>
                <w:szCs w:val="24"/>
              </w:rPr>
              <w:t>g</w:t>
            </w:r>
            <w:r>
              <w:rPr>
                <w:i/>
                <w:iCs/>
                <w:szCs w:val="24"/>
                <w:vertAlign w:val="subscript"/>
              </w:rPr>
              <w:t>0</w:t>
            </w:r>
          </w:p>
        </w:tc>
        <w:tc>
          <w:tcPr>
            <w:tcW w:w="1980" w:type="dxa"/>
            <w:tcBorders>
              <w:top w:val="single" w:sz="4" w:space="0" w:color="auto"/>
              <w:left w:val="nil"/>
              <w:bottom w:val="nil"/>
              <w:right w:val="nil"/>
            </w:tcBorders>
            <w:hideMark/>
          </w:tcPr>
          <w:p w14:paraId="34D7CABA" w14:textId="77777777" w:rsidR="00DE55D0" w:rsidRDefault="00DE55D0">
            <w:pPr>
              <w:spacing w:line="360" w:lineRule="auto"/>
              <w:jc w:val="center"/>
              <w:rPr>
                <w:szCs w:val="24"/>
              </w:rPr>
            </w:pPr>
            <w:r>
              <w:rPr>
                <w:szCs w:val="24"/>
              </w:rPr>
              <w:t>0.05(</w:t>
            </w:r>
            <w:r>
              <w:rPr>
                <w:bCs/>
                <w:szCs w:val="24"/>
              </w:rPr>
              <w:t>±0.00)</w:t>
            </w:r>
          </w:p>
        </w:tc>
        <w:tc>
          <w:tcPr>
            <w:tcW w:w="1710" w:type="dxa"/>
            <w:tcBorders>
              <w:top w:val="single" w:sz="4" w:space="0" w:color="auto"/>
              <w:left w:val="nil"/>
              <w:bottom w:val="nil"/>
              <w:right w:val="nil"/>
            </w:tcBorders>
            <w:hideMark/>
          </w:tcPr>
          <w:p w14:paraId="55891BB5" w14:textId="77777777" w:rsidR="00DE55D0" w:rsidRDefault="00DE55D0">
            <w:pPr>
              <w:spacing w:line="360" w:lineRule="auto"/>
              <w:jc w:val="center"/>
              <w:rPr>
                <w:szCs w:val="24"/>
              </w:rPr>
            </w:pPr>
            <w:r>
              <w:rPr>
                <w:szCs w:val="24"/>
              </w:rPr>
              <w:t>0.04(</w:t>
            </w:r>
            <w:r>
              <w:rPr>
                <w:bCs/>
                <w:szCs w:val="24"/>
              </w:rPr>
              <w:t>±0.00)</w:t>
            </w:r>
          </w:p>
        </w:tc>
      </w:tr>
      <w:tr w:rsidR="00DE55D0" w14:paraId="425C061E" w14:textId="77777777" w:rsidTr="00E2590A">
        <w:trPr>
          <w:jc w:val="center"/>
        </w:trPr>
        <w:tc>
          <w:tcPr>
            <w:tcW w:w="1620" w:type="dxa"/>
            <w:vMerge/>
            <w:tcBorders>
              <w:top w:val="single" w:sz="4" w:space="0" w:color="auto"/>
              <w:left w:val="nil"/>
              <w:bottom w:val="single" w:sz="4" w:space="0" w:color="auto"/>
              <w:right w:val="nil"/>
            </w:tcBorders>
            <w:vAlign w:val="center"/>
            <w:hideMark/>
          </w:tcPr>
          <w:p w14:paraId="71283EE0" w14:textId="77777777" w:rsidR="00DE55D0" w:rsidRDefault="00DE55D0" w:rsidP="00E344A9">
            <w:pPr>
              <w:jc w:val="center"/>
              <w:rPr>
                <w:b/>
                <w:bCs/>
                <w:sz w:val="22"/>
                <w:szCs w:val="24"/>
              </w:rPr>
            </w:pPr>
          </w:p>
        </w:tc>
        <w:tc>
          <w:tcPr>
            <w:tcW w:w="1350" w:type="dxa"/>
            <w:hideMark/>
          </w:tcPr>
          <w:p w14:paraId="30010D77" w14:textId="21905880" w:rsidR="00DE55D0" w:rsidRDefault="00DE55D0" w:rsidP="00E344A9">
            <w:pPr>
              <w:spacing w:line="360" w:lineRule="auto"/>
              <w:jc w:val="center"/>
              <w:rPr>
                <w:szCs w:val="24"/>
              </w:rPr>
            </w:pPr>
            <w:r>
              <w:rPr>
                <w:i/>
                <w:iCs/>
                <w:szCs w:val="24"/>
              </w:rPr>
              <w:t>g</w:t>
            </w:r>
            <w:r>
              <w:rPr>
                <w:szCs w:val="24"/>
                <w:vertAlign w:val="subscript"/>
              </w:rPr>
              <w:t>1</w:t>
            </w:r>
          </w:p>
        </w:tc>
        <w:tc>
          <w:tcPr>
            <w:tcW w:w="1980" w:type="dxa"/>
            <w:hideMark/>
          </w:tcPr>
          <w:p w14:paraId="336E4BE6" w14:textId="77777777" w:rsidR="00DE55D0" w:rsidRDefault="00DE55D0">
            <w:pPr>
              <w:spacing w:line="360" w:lineRule="auto"/>
              <w:jc w:val="center"/>
              <w:rPr>
                <w:szCs w:val="24"/>
              </w:rPr>
            </w:pPr>
            <w:r>
              <w:rPr>
                <w:szCs w:val="24"/>
              </w:rPr>
              <w:t>4.57(</w:t>
            </w:r>
            <w:r>
              <w:rPr>
                <w:bCs/>
                <w:szCs w:val="24"/>
              </w:rPr>
              <w:t>±0.01)</w:t>
            </w:r>
          </w:p>
        </w:tc>
        <w:tc>
          <w:tcPr>
            <w:tcW w:w="1710" w:type="dxa"/>
            <w:hideMark/>
          </w:tcPr>
          <w:p w14:paraId="29627CD7" w14:textId="77777777" w:rsidR="00DE55D0" w:rsidRDefault="00DE55D0">
            <w:pPr>
              <w:spacing w:line="360" w:lineRule="auto"/>
              <w:jc w:val="center"/>
              <w:rPr>
                <w:szCs w:val="24"/>
              </w:rPr>
            </w:pPr>
            <w:r>
              <w:rPr>
                <w:szCs w:val="24"/>
              </w:rPr>
              <w:t>3.16(</w:t>
            </w:r>
            <w:r>
              <w:rPr>
                <w:bCs/>
                <w:szCs w:val="24"/>
              </w:rPr>
              <w:t>±0.01)</w:t>
            </w:r>
          </w:p>
        </w:tc>
      </w:tr>
      <w:tr w:rsidR="00DE55D0" w14:paraId="7B613841" w14:textId="77777777" w:rsidTr="00E2590A">
        <w:trPr>
          <w:jc w:val="center"/>
        </w:trPr>
        <w:tc>
          <w:tcPr>
            <w:tcW w:w="1620" w:type="dxa"/>
            <w:vMerge w:val="restart"/>
            <w:tcBorders>
              <w:top w:val="single" w:sz="4" w:space="0" w:color="auto"/>
              <w:left w:val="nil"/>
              <w:bottom w:val="single" w:sz="4" w:space="0" w:color="auto"/>
              <w:right w:val="nil"/>
            </w:tcBorders>
            <w:hideMark/>
          </w:tcPr>
          <w:p w14:paraId="2EC4F5D1" w14:textId="77777777" w:rsidR="00DE55D0" w:rsidRDefault="00DE55D0" w:rsidP="00453B10">
            <w:pPr>
              <w:spacing w:before="240" w:line="360" w:lineRule="auto"/>
              <w:jc w:val="center"/>
              <w:rPr>
                <w:b/>
                <w:bCs/>
                <w:szCs w:val="24"/>
              </w:rPr>
            </w:pPr>
            <w:r>
              <w:rPr>
                <w:bCs/>
                <w:i/>
                <w:szCs w:val="24"/>
              </w:rPr>
              <w:t>β</w:t>
            </w:r>
            <w:r>
              <w:rPr>
                <w:b/>
                <w:bCs/>
                <w:szCs w:val="24"/>
                <w:vertAlign w:val="subscript"/>
              </w:rPr>
              <w:t>fun</w:t>
            </w:r>
          </w:p>
        </w:tc>
        <w:tc>
          <w:tcPr>
            <w:tcW w:w="1350" w:type="dxa"/>
            <w:tcBorders>
              <w:top w:val="single" w:sz="4" w:space="0" w:color="auto"/>
              <w:left w:val="nil"/>
              <w:bottom w:val="nil"/>
              <w:right w:val="nil"/>
            </w:tcBorders>
            <w:hideMark/>
          </w:tcPr>
          <w:p w14:paraId="55172B91" w14:textId="399FE477" w:rsidR="00DE55D0" w:rsidRDefault="00DE55D0" w:rsidP="00E344A9">
            <w:pPr>
              <w:spacing w:line="360" w:lineRule="auto"/>
              <w:jc w:val="center"/>
              <w:rPr>
                <w:szCs w:val="24"/>
              </w:rPr>
            </w:pPr>
            <w:r>
              <w:rPr>
                <w:i/>
                <w:iCs/>
                <w:szCs w:val="24"/>
              </w:rPr>
              <w:t>g</w:t>
            </w:r>
            <w:r>
              <w:rPr>
                <w:i/>
                <w:iCs/>
                <w:szCs w:val="24"/>
                <w:vertAlign w:val="subscript"/>
              </w:rPr>
              <w:t>0</w:t>
            </w:r>
          </w:p>
        </w:tc>
        <w:tc>
          <w:tcPr>
            <w:tcW w:w="1980" w:type="dxa"/>
            <w:tcBorders>
              <w:top w:val="single" w:sz="4" w:space="0" w:color="auto"/>
              <w:left w:val="nil"/>
              <w:bottom w:val="nil"/>
              <w:right w:val="nil"/>
            </w:tcBorders>
            <w:hideMark/>
          </w:tcPr>
          <w:p w14:paraId="74EF2EF1" w14:textId="77777777" w:rsidR="00DE55D0" w:rsidRDefault="00DE55D0">
            <w:pPr>
              <w:spacing w:line="360" w:lineRule="auto"/>
              <w:jc w:val="center"/>
              <w:rPr>
                <w:szCs w:val="24"/>
              </w:rPr>
            </w:pPr>
            <w:r>
              <w:rPr>
                <w:szCs w:val="24"/>
              </w:rPr>
              <w:t>0.00(</w:t>
            </w:r>
            <w:r>
              <w:rPr>
                <w:bCs/>
                <w:szCs w:val="24"/>
              </w:rPr>
              <w:t>±0.00)</w:t>
            </w:r>
          </w:p>
        </w:tc>
        <w:tc>
          <w:tcPr>
            <w:tcW w:w="1710" w:type="dxa"/>
            <w:tcBorders>
              <w:top w:val="single" w:sz="4" w:space="0" w:color="auto"/>
              <w:left w:val="nil"/>
              <w:bottom w:val="nil"/>
              <w:right w:val="nil"/>
            </w:tcBorders>
            <w:hideMark/>
          </w:tcPr>
          <w:p w14:paraId="16E8C884" w14:textId="77777777" w:rsidR="00DE55D0" w:rsidRDefault="00DE55D0">
            <w:pPr>
              <w:spacing w:line="360" w:lineRule="auto"/>
              <w:jc w:val="center"/>
              <w:rPr>
                <w:szCs w:val="24"/>
              </w:rPr>
            </w:pPr>
            <w:r>
              <w:rPr>
                <w:szCs w:val="24"/>
              </w:rPr>
              <w:t>0.00(</w:t>
            </w:r>
            <w:r>
              <w:rPr>
                <w:bCs/>
                <w:szCs w:val="24"/>
              </w:rPr>
              <w:t>±0.00)</w:t>
            </w:r>
          </w:p>
        </w:tc>
      </w:tr>
      <w:tr w:rsidR="00DE55D0" w14:paraId="0E1F31D6" w14:textId="77777777" w:rsidTr="00E2590A">
        <w:trPr>
          <w:jc w:val="center"/>
        </w:trPr>
        <w:tc>
          <w:tcPr>
            <w:tcW w:w="1620" w:type="dxa"/>
            <w:vMerge/>
            <w:tcBorders>
              <w:top w:val="single" w:sz="4" w:space="0" w:color="auto"/>
              <w:left w:val="nil"/>
              <w:bottom w:val="single" w:sz="4" w:space="0" w:color="auto"/>
              <w:right w:val="nil"/>
            </w:tcBorders>
            <w:vAlign w:val="center"/>
            <w:hideMark/>
          </w:tcPr>
          <w:p w14:paraId="5BB820AE" w14:textId="77777777" w:rsidR="00DE55D0" w:rsidRDefault="00DE55D0" w:rsidP="00E344A9">
            <w:pPr>
              <w:jc w:val="center"/>
              <w:rPr>
                <w:b/>
                <w:bCs/>
                <w:sz w:val="22"/>
                <w:szCs w:val="24"/>
              </w:rPr>
            </w:pPr>
          </w:p>
        </w:tc>
        <w:tc>
          <w:tcPr>
            <w:tcW w:w="1350" w:type="dxa"/>
            <w:tcBorders>
              <w:bottom w:val="single" w:sz="4" w:space="0" w:color="auto"/>
            </w:tcBorders>
            <w:hideMark/>
          </w:tcPr>
          <w:p w14:paraId="41CA91D8" w14:textId="460C8B63" w:rsidR="00DE55D0" w:rsidRDefault="00DE55D0" w:rsidP="00E344A9">
            <w:pPr>
              <w:spacing w:line="360" w:lineRule="auto"/>
              <w:jc w:val="center"/>
              <w:rPr>
                <w:szCs w:val="24"/>
              </w:rPr>
            </w:pPr>
            <w:r>
              <w:rPr>
                <w:i/>
                <w:iCs/>
                <w:szCs w:val="24"/>
              </w:rPr>
              <w:t>g</w:t>
            </w:r>
            <w:r>
              <w:rPr>
                <w:szCs w:val="24"/>
                <w:vertAlign w:val="subscript"/>
              </w:rPr>
              <w:t>1</w:t>
            </w:r>
          </w:p>
        </w:tc>
        <w:tc>
          <w:tcPr>
            <w:tcW w:w="1980" w:type="dxa"/>
            <w:tcBorders>
              <w:bottom w:val="single" w:sz="4" w:space="0" w:color="auto"/>
            </w:tcBorders>
            <w:hideMark/>
          </w:tcPr>
          <w:p w14:paraId="1349F51F" w14:textId="77777777" w:rsidR="00DE55D0" w:rsidRDefault="00DE55D0">
            <w:pPr>
              <w:spacing w:line="360" w:lineRule="auto"/>
              <w:jc w:val="center"/>
              <w:rPr>
                <w:szCs w:val="24"/>
              </w:rPr>
            </w:pPr>
            <w:r>
              <w:rPr>
                <w:szCs w:val="24"/>
              </w:rPr>
              <w:t>3.80(</w:t>
            </w:r>
            <w:r>
              <w:rPr>
                <w:bCs/>
                <w:szCs w:val="24"/>
              </w:rPr>
              <w:t>±0.01)</w:t>
            </w:r>
          </w:p>
        </w:tc>
        <w:tc>
          <w:tcPr>
            <w:tcW w:w="1710" w:type="dxa"/>
            <w:tcBorders>
              <w:bottom w:val="single" w:sz="4" w:space="0" w:color="auto"/>
            </w:tcBorders>
            <w:hideMark/>
          </w:tcPr>
          <w:p w14:paraId="174D5E16" w14:textId="77777777" w:rsidR="00DE55D0" w:rsidRDefault="00DE55D0">
            <w:pPr>
              <w:spacing w:line="360" w:lineRule="auto"/>
              <w:jc w:val="center"/>
              <w:rPr>
                <w:szCs w:val="24"/>
              </w:rPr>
            </w:pPr>
            <w:r>
              <w:rPr>
                <w:szCs w:val="24"/>
              </w:rPr>
              <w:t>3.85(</w:t>
            </w:r>
            <w:r>
              <w:rPr>
                <w:bCs/>
                <w:szCs w:val="24"/>
              </w:rPr>
              <w:t>±0.00)</w:t>
            </w:r>
          </w:p>
        </w:tc>
      </w:tr>
      <w:tr w:rsidR="00DE55D0" w14:paraId="027BBECC" w14:textId="77777777" w:rsidTr="00E2590A">
        <w:trPr>
          <w:jc w:val="center"/>
        </w:trPr>
        <w:tc>
          <w:tcPr>
            <w:tcW w:w="1620" w:type="dxa"/>
            <w:vMerge w:val="restart"/>
            <w:tcBorders>
              <w:top w:val="single" w:sz="4" w:space="0" w:color="auto"/>
              <w:left w:val="nil"/>
              <w:bottom w:val="single" w:sz="4" w:space="0" w:color="auto"/>
              <w:right w:val="nil"/>
            </w:tcBorders>
            <w:hideMark/>
          </w:tcPr>
          <w:p w14:paraId="0E7EB274" w14:textId="77777777" w:rsidR="00DE55D0" w:rsidRDefault="00DE55D0" w:rsidP="00453B10">
            <w:pPr>
              <w:spacing w:before="240"/>
              <w:jc w:val="center"/>
              <w:rPr>
                <w:b/>
                <w:bCs/>
                <w:szCs w:val="24"/>
              </w:rPr>
            </w:pPr>
            <w:r>
              <w:rPr>
                <w:bCs/>
                <w:i/>
                <w:szCs w:val="24"/>
              </w:rPr>
              <w:t>β</w:t>
            </w:r>
            <w:r>
              <w:rPr>
                <w:b/>
                <w:bCs/>
                <w:szCs w:val="24"/>
                <w:vertAlign w:val="subscript"/>
              </w:rPr>
              <w:t>off</w:t>
            </w:r>
          </w:p>
        </w:tc>
        <w:tc>
          <w:tcPr>
            <w:tcW w:w="1350" w:type="dxa"/>
            <w:tcBorders>
              <w:top w:val="single" w:sz="4" w:space="0" w:color="auto"/>
              <w:left w:val="nil"/>
              <w:bottom w:val="nil"/>
              <w:right w:val="nil"/>
            </w:tcBorders>
            <w:hideMark/>
          </w:tcPr>
          <w:p w14:paraId="2D90CD54" w14:textId="6A4C2CDA" w:rsidR="00DE55D0" w:rsidRDefault="00DE55D0" w:rsidP="00E344A9">
            <w:pPr>
              <w:spacing w:line="360" w:lineRule="auto"/>
              <w:jc w:val="center"/>
              <w:rPr>
                <w:szCs w:val="24"/>
              </w:rPr>
            </w:pPr>
            <w:r>
              <w:rPr>
                <w:i/>
                <w:iCs/>
                <w:szCs w:val="24"/>
              </w:rPr>
              <w:t>g</w:t>
            </w:r>
            <w:r>
              <w:rPr>
                <w:i/>
                <w:iCs/>
                <w:szCs w:val="24"/>
                <w:vertAlign w:val="subscript"/>
              </w:rPr>
              <w:t>0</w:t>
            </w:r>
          </w:p>
        </w:tc>
        <w:tc>
          <w:tcPr>
            <w:tcW w:w="1980" w:type="dxa"/>
            <w:tcBorders>
              <w:top w:val="single" w:sz="4" w:space="0" w:color="auto"/>
              <w:left w:val="nil"/>
              <w:bottom w:val="nil"/>
              <w:right w:val="nil"/>
            </w:tcBorders>
            <w:hideMark/>
          </w:tcPr>
          <w:p w14:paraId="2721EA68" w14:textId="77777777" w:rsidR="00DE55D0" w:rsidRDefault="00DE55D0">
            <w:pPr>
              <w:spacing w:line="360" w:lineRule="auto"/>
              <w:jc w:val="center"/>
              <w:rPr>
                <w:szCs w:val="24"/>
              </w:rPr>
            </w:pPr>
            <w:r>
              <w:rPr>
                <w:szCs w:val="24"/>
              </w:rPr>
              <w:t>0.00(</w:t>
            </w:r>
            <w:r>
              <w:rPr>
                <w:bCs/>
                <w:szCs w:val="24"/>
              </w:rPr>
              <w:t>±0.00)</w:t>
            </w:r>
          </w:p>
        </w:tc>
        <w:tc>
          <w:tcPr>
            <w:tcW w:w="1710" w:type="dxa"/>
            <w:tcBorders>
              <w:top w:val="single" w:sz="4" w:space="0" w:color="auto"/>
              <w:left w:val="nil"/>
              <w:bottom w:val="nil"/>
              <w:right w:val="nil"/>
            </w:tcBorders>
            <w:hideMark/>
          </w:tcPr>
          <w:p w14:paraId="5B2A57EB" w14:textId="77777777" w:rsidR="00DE55D0" w:rsidRDefault="00DE55D0">
            <w:pPr>
              <w:spacing w:line="360" w:lineRule="auto"/>
              <w:jc w:val="center"/>
              <w:rPr>
                <w:szCs w:val="24"/>
              </w:rPr>
            </w:pPr>
            <w:r>
              <w:rPr>
                <w:szCs w:val="24"/>
              </w:rPr>
              <w:t>0.00(</w:t>
            </w:r>
            <w:r>
              <w:rPr>
                <w:bCs/>
                <w:szCs w:val="24"/>
              </w:rPr>
              <w:t>±0.00)</w:t>
            </w:r>
          </w:p>
        </w:tc>
      </w:tr>
      <w:tr w:rsidR="00DE55D0" w14:paraId="208AB81A" w14:textId="77777777" w:rsidTr="000721E1">
        <w:trPr>
          <w:jc w:val="center"/>
        </w:trPr>
        <w:tc>
          <w:tcPr>
            <w:tcW w:w="1620" w:type="dxa"/>
            <w:vMerge/>
            <w:tcBorders>
              <w:top w:val="single" w:sz="4" w:space="0" w:color="auto"/>
              <w:left w:val="nil"/>
              <w:bottom w:val="single" w:sz="4" w:space="0" w:color="auto"/>
              <w:right w:val="nil"/>
            </w:tcBorders>
            <w:vAlign w:val="center"/>
            <w:hideMark/>
          </w:tcPr>
          <w:p w14:paraId="60534537" w14:textId="77777777" w:rsidR="00DE55D0" w:rsidRDefault="00DE55D0" w:rsidP="00E344A9">
            <w:pPr>
              <w:jc w:val="center"/>
              <w:rPr>
                <w:b/>
                <w:bCs/>
                <w:sz w:val="22"/>
                <w:szCs w:val="24"/>
              </w:rPr>
            </w:pPr>
          </w:p>
        </w:tc>
        <w:tc>
          <w:tcPr>
            <w:tcW w:w="1350" w:type="dxa"/>
            <w:tcBorders>
              <w:bottom w:val="single" w:sz="4" w:space="0" w:color="auto"/>
            </w:tcBorders>
            <w:hideMark/>
          </w:tcPr>
          <w:p w14:paraId="75933628" w14:textId="0761A9E0" w:rsidR="00DE55D0" w:rsidRDefault="00DE55D0" w:rsidP="00E344A9">
            <w:pPr>
              <w:spacing w:line="360" w:lineRule="auto"/>
              <w:jc w:val="center"/>
              <w:rPr>
                <w:szCs w:val="24"/>
              </w:rPr>
            </w:pPr>
            <w:r>
              <w:rPr>
                <w:i/>
                <w:iCs/>
                <w:szCs w:val="24"/>
              </w:rPr>
              <w:t>g</w:t>
            </w:r>
            <w:r>
              <w:rPr>
                <w:szCs w:val="24"/>
                <w:vertAlign w:val="subscript"/>
              </w:rPr>
              <w:t>1</w:t>
            </w:r>
          </w:p>
        </w:tc>
        <w:tc>
          <w:tcPr>
            <w:tcW w:w="1980" w:type="dxa"/>
            <w:tcBorders>
              <w:bottom w:val="single" w:sz="4" w:space="0" w:color="auto"/>
            </w:tcBorders>
            <w:hideMark/>
          </w:tcPr>
          <w:p w14:paraId="2B9191F2" w14:textId="77777777" w:rsidR="00DE55D0" w:rsidRDefault="00DE55D0">
            <w:pPr>
              <w:spacing w:line="360" w:lineRule="auto"/>
              <w:jc w:val="center"/>
              <w:rPr>
                <w:szCs w:val="24"/>
              </w:rPr>
            </w:pPr>
            <w:r>
              <w:rPr>
                <w:szCs w:val="24"/>
              </w:rPr>
              <w:t>3.86(</w:t>
            </w:r>
            <w:r>
              <w:rPr>
                <w:bCs/>
                <w:szCs w:val="24"/>
              </w:rPr>
              <w:t>±0.01)</w:t>
            </w:r>
          </w:p>
        </w:tc>
        <w:tc>
          <w:tcPr>
            <w:tcW w:w="1710" w:type="dxa"/>
            <w:tcBorders>
              <w:bottom w:val="single" w:sz="4" w:space="0" w:color="auto"/>
            </w:tcBorders>
            <w:hideMark/>
          </w:tcPr>
          <w:p w14:paraId="0A98BCAC" w14:textId="77777777" w:rsidR="00DE55D0" w:rsidRDefault="00DE55D0">
            <w:pPr>
              <w:spacing w:line="360" w:lineRule="auto"/>
              <w:jc w:val="center"/>
              <w:rPr>
                <w:szCs w:val="24"/>
              </w:rPr>
            </w:pPr>
            <w:r>
              <w:rPr>
                <w:szCs w:val="24"/>
              </w:rPr>
              <w:t>3.86(</w:t>
            </w:r>
            <w:r>
              <w:rPr>
                <w:bCs/>
                <w:szCs w:val="24"/>
              </w:rPr>
              <w:t>±0.01)</w:t>
            </w:r>
          </w:p>
        </w:tc>
      </w:tr>
    </w:tbl>
    <w:p w14:paraId="5C98FB20" w14:textId="555CF741" w:rsidR="00DE55D0" w:rsidRDefault="00A411B6" w:rsidP="00DE55D0">
      <w:pPr>
        <w:spacing w:line="360" w:lineRule="auto"/>
        <w:jc w:val="both"/>
        <w:rPr>
          <w:szCs w:val="24"/>
        </w:rPr>
      </w:pPr>
      <w:r w:rsidRPr="00A411B6">
        <w:rPr>
          <w:bCs/>
          <w:i/>
          <w:sz w:val="22"/>
          <w:szCs w:val="24"/>
        </w:rPr>
        <w:t>Note:</w:t>
      </w:r>
      <w:r w:rsidRPr="00A411B6">
        <w:rPr>
          <w:b/>
          <w:bCs/>
          <w:i/>
          <w:sz w:val="22"/>
          <w:szCs w:val="24"/>
        </w:rPr>
        <w:t xml:space="preserve"> </w:t>
      </w:r>
      <w:r w:rsidRPr="00A411B6">
        <w:rPr>
          <w:i/>
          <w:szCs w:val="24"/>
        </w:rPr>
        <w:t xml:space="preserve">We use the SOX output with a fixed shape parameter (a=2.1) for equation 5 and with a </w:t>
      </w:r>
      <w:r w:rsidR="006B63B9">
        <w:rPr>
          <w:i/>
          <w:szCs w:val="24"/>
        </w:rPr>
        <w:t xml:space="preserve">shape parameter </w:t>
      </w:r>
      <w:r w:rsidRPr="00A411B6">
        <w:rPr>
          <w:i/>
          <w:szCs w:val="24"/>
        </w:rPr>
        <w:t>optimized for each plot (a=1.1 in control and a=2.54 in TFE).</w:t>
      </w:r>
    </w:p>
    <w:p w14:paraId="7BE3C625" w14:textId="77777777" w:rsidR="00E344A9" w:rsidRDefault="00E344A9" w:rsidP="00440A85">
      <w:pPr>
        <w:spacing w:line="360" w:lineRule="auto"/>
        <w:jc w:val="both"/>
        <w:rPr>
          <w:b/>
          <w:szCs w:val="24"/>
        </w:rPr>
      </w:pPr>
    </w:p>
    <w:p w14:paraId="5A0A0661" w14:textId="77777777" w:rsidR="00E344A9" w:rsidRDefault="00E344A9" w:rsidP="00440A85">
      <w:pPr>
        <w:spacing w:line="360" w:lineRule="auto"/>
        <w:jc w:val="both"/>
        <w:rPr>
          <w:b/>
          <w:szCs w:val="24"/>
        </w:rPr>
      </w:pPr>
    </w:p>
    <w:p w14:paraId="166C04AA" w14:textId="77777777" w:rsidR="00E344A9" w:rsidRDefault="00E344A9" w:rsidP="00440A85">
      <w:pPr>
        <w:spacing w:line="360" w:lineRule="auto"/>
        <w:jc w:val="both"/>
        <w:rPr>
          <w:b/>
          <w:szCs w:val="24"/>
        </w:rPr>
      </w:pPr>
    </w:p>
    <w:p w14:paraId="7BB26672" w14:textId="77777777" w:rsidR="00E344A9" w:rsidRDefault="00E344A9" w:rsidP="00440A85">
      <w:pPr>
        <w:spacing w:line="360" w:lineRule="auto"/>
        <w:jc w:val="both"/>
        <w:rPr>
          <w:b/>
          <w:szCs w:val="24"/>
        </w:rPr>
      </w:pPr>
    </w:p>
    <w:p w14:paraId="57265D76" w14:textId="77777777" w:rsidR="00E344A9" w:rsidRDefault="00E344A9" w:rsidP="00440A85">
      <w:pPr>
        <w:spacing w:line="360" w:lineRule="auto"/>
        <w:jc w:val="both"/>
        <w:rPr>
          <w:b/>
          <w:szCs w:val="24"/>
        </w:rPr>
      </w:pPr>
    </w:p>
    <w:p w14:paraId="1F3789F0" w14:textId="77777777" w:rsidR="00E344A9" w:rsidRDefault="00E344A9" w:rsidP="00440A85">
      <w:pPr>
        <w:spacing w:line="360" w:lineRule="auto"/>
        <w:jc w:val="both"/>
        <w:rPr>
          <w:b/>
          <w:szCs w:val="24"/>
        </w:rPr>
      </w:pPr>
    </w:p>
    <w:p w14:paraId="71FA39F5" w14:textId="77777777" w:rsidR="00E344A9" w:rsidRDefault="00E344A9" w:rsidP="00440A85">
      <w:pPr>
        <w:spacing w:line="360" w:lineRule="auto"/>
        <w:jc w:val="both"/>
        <w:rPr>
          <w:b/>
          <w:szCs w:val="24"/>
        </w:rPr>
      </w:pPr>
    </w:p>
    <w:p w14:paraId="1C19932E" w14:textId="77777777" w:rsidR="00E344A9" w:rsidRDefault="00E344A9" w:rsidP="00440A85">
      <w:pPr>
        <w:spacing w:line="360" w:lineRule="auto"/>
        <w:jc w:val="both"/>
        <w:rPr>
          <w:b/>
          <w:szCs w:val="24"/>
        </w:rPr>
      </w:pPr>
    </w:p>
    <w:p w14:paraId="77F34AE4" w14:textId="77777777" w:rsidR="00E344A9" w:rsidRDefault="00E344A9" w:rsidP="00440A85">
      <w:pPr>
        <w:spacing w:line="360" w:lineRule="auto"/>
        <w:jc w:val="both"/>
        <w:rPr>
          <w:b/>
          <w:szCs w:val="24"/>
        </w:rPr>
      </w:pPr>
    </w:p>
    <w:p w14:paraId="7D032008" w14:textId="77777777" w:rsidR="00E344A9" w:rsidRDefault="00E344A9" w:rsidP="00440A85">
      <w:pPr>
        <w:spacing w:line="360" w:lineRule="auto"/>
        <w:jc w:val="both"/>
        <w:rPr>
          <w:b/>
          <w:szCs w:val="24"/>
        </w:rPr>
      </w:pPr>
    </w:p>
    <w:p w14:paraId="610AC90D" w14:textId="649EB1BB" w:rsidR="00E344A9" w:rsidRDefault="00E344A9" w:rsidP="00440A85">
      <w:pPr>
        <w:spacing w:line="360" w:lineRule="auto"/>
        <w:jc w:val="both"/>
        <w:rPr>
          <w:b/>
          <w:szCs w:val="24"/>
        </w:rPr>
      </w:pPr>
    </w:p>
    <w:p w14:paraId="37154CD8" w14:textId="4731C240" w:rsidR="00372D79" w:rsidRDefault="00372D79" w:rsidP="00440A85">
      <w:pPr>
        <w:spacing w:line="360" w:lineRule="auto"/>
        <w:jc w:val="both"/>
        <w:rPr>
          <w:b/>
          <w:szCs w:val="24"/>
        </w:rPr>
      </w:pPr>
    </w:p>
    <w:p w14:paraId="5AF5EB8A" w14:textId="2759E241" w:rsidR="00372D79" w:rsidRDefault="00372D79" w:rsidP="00440A85">
      <w:pPr>
        <w:spacing w:line="360" w:lineRule="auto"/>
        <w:jc w:val="both"/>
        <w:rPr>
          <w:b/>
          <w:szCs w:val="24"/>
        </w:rPr>
      </w:pPr>
    </w:p>
    <w:p w14:paraId="3E499847" w14:textId="538C172D" w:rsidR="00372D79" w:rsidRDefault="00372D79" w:rsidP="00440A85">
      <w:pPr>
        <w:spacing w:line="360" w:lineRule="auto"/>
        <w:jc w:val="both"/>
        <w:rPr>
          <w:b/>
          <w:szCs w:val="24"/>
        </w:rPr>
      </w:pPr>
    </w:p>
    <w:p w14:paraId="4061F67C" w14:textId="0939C46C" w:rsidR="00581682" w:rsidRDefault="00581682" w:rsidP="00440A85">
      <w:pPr>
        <w:spacing w:line="360" w:lineRule="auto"/>
        <w:jc w:val="both"/>
        <w:rPr>
          <w:b/>
          <w:szCs w:val="24"/>
        </w:rPr>
      </w:pPr>
    </w:p>
    <w:p w14:paraId="083120C1" w14:textId="5FC24475" w:rsidR="00581682" w:rsidRDefault="00581682" w:rsidP="00440A85">
      <w:pPr>
        <w:spacing w:line="360" w:lineRule="auto"/>
        <w:jc w:val="both"/>
        <w:rPr>
          <w:b/>
          <w:szCs w:val="24"/>
        </w:rPr>
      </w:pPr>
    </w:p>
    <w:p w14:paraId="3AC92D1F" w14:textId="52D4D853" w:rsidR="00581682" w:rsidRDefault="00581682" w:rsidP="00440A85">
      <w:pPr>
        <w:spacing w:line="360" w:lineRule="auto"/>
        <w:jc w:val="both"/>
        <w:rPr>
          <w:b/>
          <w:szCs w:val="24"/>
        </w:rPr>
      </w:pPr>
    </w:p>
    <w:p w14:paraId="4A7BCEBB" w14:textId="77777777" w:rsidR="00581682" w:rsidRDefault="00581682" w:rsidP="00440A85">
      <w:pPr>
        <w:spacing w:line="360" w:lineRule="auto"/>
        <w:jc w:val="both"/>
        <w:rPr>
          <w:b/>
          <w:szCs w:val="24"/>
        </w:rPr>
      </w:pPr>
    </w:p>
    <w:p w14:paraId="12D489B1" w14:textId="7EB30EBC" w:rsidR="00372D79" w:rsidRDefault="00372D79" w:rsidP="00440A85">
      <w:pPr>
        <w:spacing w:line="360" w:lineRule="auto"/>
        <w:jc w:val="both"/>
        <w:rPr>
          <w:b/>
          <w:szCs w:val="24"/>
        </w:rPr>
      </w:pPr>
    </w:p>
    <w:p w14:paraId="36492E6B" w14:textId="4E148E09" w:rsidR="00372D79" w:rsidRDefault="00372D79" w:rsidP="00440A85">
      <w:pPr>
        <w:spacing w:line="360" w:lineRule="auto"/>
        <w:jc w:val="both"/>
        <w:rPr>
          <w:b/>
          <w:szCs w:val="24"/>
        </w:rPr>
      </w:pPr>
    </w:p>
    <w:p w14:paraId="0599DF37" w14:textId="7B1502B0" w:rsidR="007A1110" w:rsidRDefault="007A1110" w:rsidP="00440A85">
      <w:pPr>
        <w:spacing w:line="360" w:lineRule="auto"/>
        <w:jc w:val="both"/>
        <w:rPr>
          <w:b/>
          <w:szCs w:val="24"/>
        </w:rPr>
      </w:pPr>
    </w:p>
    <w:p w14:paraId="3516AB4A" w14:textId="0AB6A8F7" w:rsidR="00440A85" w:rsidRPr="004244FF" w:rsidRDefault="00440A85" w:rsidP="00581682">
      <w:pPr>
        <w:spacing w:line="360" w:lineRule="auto"/>
        <w:jc w:val="center"/>
        <w:rPr>
          <w:b/>
          <w:szCs w:val="24"/>
        </w:rPr>
      </w:pPr>
      <w:r w:rsidRPr="004244FF">
        <w:rPr>
          <w:b/>
          <w:szCs w:val="24"/>
        </w:rPr>
        <w:lastRenderedPageBreak/>
        <w:t>Supplementary Figures</w:t>
      </w:r>
    </w:p>
    <w:p w14:paraId="3516AB4C" w14:textId="0DBF494E" w:rsidR="006649DD" w:rsidRPr="004244FF" w:rsidRDefault="0054293C" w:rsidP="004244FF">
      <w:pPr>
        <w:spacing w:line="360" w:lineRule="auto"/>
        <w:jc w:val="center"/>
        <w:rPr>
          <w:b/>
          <w:szCs w:val="24"/>
        </w:rPr>
      </w:pPr>
      <w:r>
        <w:rPr>
          <w:b/>
          <w:noProof/>
          <w:szCs w:val="24"/>
        </w:rPr>
        <w:drawing>
          <wp:inline distT="0" distB="0" distL="0" distR="0" wp14:anchorId="7E6BF15A" wp14:editId="21FB0FB9">
            <wp:extent cx="4876800" cy="609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6096000"/>
                    </a:xfrm>
                    <a:prstGeom prst="rect">
                      <a:avLst/>
                    </a:prstGeom>
                  </pic:spPr>
                </pic:pic>
              </a:graphicData>
            </a:graphic>
          </wp:inline>
        </w:drawing>
      </w:r>
    </w:p>
    <w:p w14:paraId="3516AB4D" w14:textId="5A84729E" w:rsidR="006649DD" w:rsidRPr="003B3398" w:rsidRDefault="00EB3737" w:rsidP="00440A85">
      <w:pPr>
        <w:spacing w:line="360" w:lineRule="auto"/>
        <w:jc w:val="both"/>
        <w:rPr>
          <w:szCs w:val="24"/>
        </w:rPr>
      </w:pPr>
      <w:r w:rsidRPr="004244FF">
        <w:rPr>
          <w:b/>
          <w:szCs w:val="24"/>
        </w:rPr>
        <w:t xml:space="preserve">Figure S1. </w:t>
      </w:r>
      <w:r w:rsidRPr="004244FF">
        <w:rPr>
          <w:szCs w:val="24"/>
        </w:rPr>
        <w:t xml:space="preserve">Comparison of </w:t>
      </w:r>
      <w:r w:rsidR="00BE7093" w:rsidRPr="004244FF">
        <w:rPr>
          <w:szCs w:val="24"/>
        </w:rPr>
        <w:t xml:space="preserve">equations 5 and 6 to compute </w:t>
      </w:r>
      <w:r w:rsidR="00CF4CF7" w:rsidRPr="004244FF">
        <w:rPr>
          <w:szCs w:val="24"/>
        </w:rPr>
        <w:t xml:space="preserve">the normalised root to canopy </w:t>
      </w:r>
      <w:r w:rsidR="000565DD">
        <w:rPr>
          <w:szCs w:val="24"/>
        </w:rPr>
        <w:t xml:space="preserve">hydraulic </w:t>
      </w:r>
      <w:r w:rsidR="00CF4CF7" w:rsidRPr="004244FF">
        <w:rPr>
          <w:szCs w:val="24"/>
        </w:rPr>
        <w:t>conductance (</w:t>
      </w:r>
      <w:proofErr w:type="spellStart"/>
      <w:r w:rsidR="00CF4CF7" w:rsidRPr="004244FF">
        <w:rPr>
          <w:i/>
          <w:szCs w:val="24"/>
        </w:rPr>
        <w:t>k</w:t>
      </w:r>
      <w:r w:rsidR="00CF4CF7" w:rsidRPr="004244FF">
        <w:rPr>
          <w:i/>
          <w:szCs w:val="24"/>
          <w:vertAlign w:val="subscript"/>
        </w:rPr>
        <w:t>cost</w:t>
      </w:r>
      <w:proofErr w:type="spellEnd"/>
      <w:r w:rsidR="00CF4CF7" w:rsidRPr="004244FF">
        <w:rPr>
          <w:szCs w:val="24"/>
        </w:rPr>
        <w:t>)</w:t>
      </w:r>
      <w:r w:rsidR="00BE7093" w:rsidRPr="004244FF">
        <w:rPr>
          <w:szCs w:val="24"/>
        </w:rPr>
        <w:t>. Equation 5 was solved using</w:t>
      </w:r>
      <w:r w:rsidR="0054681E">
        <w:rPr>
          <w:szCs w:val="24"/>
        </w:rPr>
        <w:t xml:space="preserve"> either</w:t>
      </w:r>
      <w:r w:rsidR="00BE7093" w:rsidRPr="004244FF">
        <w:rPr>
          <w:szCs w:val="24"/>
        </w:rPr>
        <w:t xml:space="preserve"> the canopy water potential (</w:t>
      </w:r>
      <w:proofErr w:type="spellStart"/>
      <w:r w:rsidR="00BE7093" w:rsidRPr="004244FF">
        <w:rPr>
          <w:szCs w:val="24"/>
        </w:rPr>
        <w:t>Ψ</w:t>
      </w:r>
      <w:r w:rsidR="00BE7093" w:rsidRPr="004244FF">
        <w:rPr>
          <w:szCs w:val="24"/>
          <w:vertAlign w:val="subscript"/>
        </w:rPr>
        <w:t>c</w:t>
      </w:r>
      <w:proofErr w:type="spellEnd"/>
      <w:r w:rsidR="00BE7093" w:rsidRPr="004244FF">
        <w:rPr>
          <w:szCs w:val="24"/>
        </w:rPr>
        <w:t xml:space="preserve">, MPa) </w:t>
      </w:r>
      <w:r w:rsidR="00791F53">
        <w:rPr>
          <w:szCs w:val="24"/>
        </w:rPr>
        <w:t xml:space="preserve">or </w:t>
      </w:r>
      <w:r w:rsidR="00BE7093" w:rsidRPr="004244FF">
        <w:rPr>
          <w:szCs w:val="24"/>
        </w:rPr>
        <w:t>the middle value of the root-canopy gradient (</w:t>
      </w:r>
      <w:proofErr w:type="spellStart"/>
      <w:r w:rsidR="00BE7093" w:rsidRPr="004244FF">
        <w:rPr>
          <w:szCs w:val="24"/>
        </w:rPr>
        <w:t>Ψ</w:t>
      </w:r>
      <w:r w:rsidR="00BE7093" w:rsidRPr="004244FF">
        <w:rPr>
          <w:szCs w:val="24"/>
          <w:vertAlign w:val="subscript"/>
        </w:rPr>
        <w:t>c</w:t>
      </w:r>
      <w:proofErr w:type="gramStart"/>
      <w:r w:rsidR="00BE7093" w:rsidRPr="004244FF">
        <w:rPr>
          <w:szCs w:val="24"/>
          <w:vertAlign w:val="subscript"/>
        </w:rPr>
        <w:t>,mid</w:t>
      </w:r>
      <w:proofErr w:type="spellEnd"/>
      <w:proofErr w:type="gramEnd"/>
      <w:r w:rsidR="00CE6B05">
        <w:rPr>
          <w:szCs w:val="24"/>
        </w:rPr>
        <w:t xml:space="preserve">, see equation </w:t>
      </w:r>
      <w:r w:rsidR="00BA1576">
        <w:rPr>
          <w:szCs w:val="24"/>
        </w:rPr>
        <w:t>7 in the main text</w:t>
      </w:r>
      <w:r w:rsidR="00BE7093" w:rsidRPr="004244FF">
        <w:rPr>
          <w:szCs w:val="24"/>
        </w:rPr>
        <w:t xml:space="preserve">). The dashed line </w:t>
      </w:r>
      <w:r w:rsidR="00DC6A29" w:rsidRPr="004244FF">
        <w:rPr>
          <w:szCs w:val="24"/>
        </w:rPr>
        <w:t>is</w:t>
      </w:r>
      <w:r w:rsidR="00BE7093" w:rsidRPr="004244FF">
        <w:rPr>
          <w:szCs w:val="24"/>
        </w:rPr>
        <w:t xml:space="preserve"> the pre-dawn </w:t>
      </w:r>
      <w:proofErr w:type="spellStart"/>
      <w:r w:rsidR="00BE7093" w:rsidRPr="004244FF">
        <w:rPr>
          <w:szCs w:val="24"/>
        </w:rPr>
        <w:t>Ψ</w:t>
      </w:r>
      <w:r w:rsidR="00BE7093" w:rsidRPr="004244FF">
        <w:rPr>
          <w:szCs w:val="24"/>
          <w:vertAlign w:val="subscript"/>
        </w:rPr>
        <w:t>c</w:t>
      </w:r>
      <w:proofErr w:type="spellEnd"/>
      <w:r w:rsidR="00DC6A29" w:rsidRPr="004244FF">
        <w:rPr>
          <w:szCs w:val="24"/>
          <w:vertAlign w:val="subscript"/>
        </w:rPr>
        <w:t xml:space="preserve"> </w:t>
      </w:r>
      <w:r w:rsidR="00DC6A29" w:rsidRPr="004244FF">
        <w:rPr>
          <w:szCs w:val="24"/>
        </w:rPr>
        <w:t>(</w:t>
      </w:r>
      <w:proofErr w:type="spellStart"/>
      <w:r w:rsidR="00DC6A29" w:rsidRPr="004244FF">
        <w:rPr>
          <w:szCs w:val="24"/>
        </w:rPr>
        <w:t>Ψ</w:t>
      </w:r>
      <w:r w:rsidR="00DC6A29" w:rsidRPr="004244FF">
        <w:rPr>
          <w:szCs w:val="24"/>
          <w:vertAlign w:val="subscript"/>
        </w:rPr>
        <w:t>c</w:t>
      </w:r>
      <w:proofErr w:type="gramStart"/>
      <w:r w:rsidR="00DC6A29" w:rsidRPr="004244FF">
        <w:rPr>
          <w:szCs w:val="24"/>
          <w:vertAlign w:val="subscript"/>
        </w:rPr>
        <w:t>,pd</w:t>
      </w:r>
      <w:proofErr w:type="spellEnd"/>
      <w:proofErr w:type="gramEnd"/>
      <w:r w:rsidR="00DC6A29" w:rsidRPr="004244FF">
        <w:rPr>
          <w:szCs w:val="24"/>
        </w:rPr>
        <w:t>)</w:t>
      </w:r>
      <w:r w:rsidR="00BE7093" w:rsidRPr="004244FF">
        <w:rPr>
          <w:szCs w:val="24"/>
        </w:rPr>
        <w:t xml:space="preserve">. Equation 6 was solved exactly assuming the shape </w:t>
      </w:r>
      <w:r w:rsidR="00E25D41">
        <w:rPr>
          <w:szCs w:val="24"/>
        </w:rPr>
        <w:t xml:space="preserve">parameter </w:t>
      </w:r>
      <w:r w:rsidR="00BE7093" w:rsidRPr="004244FF">
        <w:rPr>
          <w:szCs w:val="24"/>
        </w:rPr>
        <w:t xml:space="preserve">of the vulnerability curve </w:t>
      </w:r>
      <w:r w:rsidR="00E25D41">
        <w:rPr>
          <w:szCs w:val="24"/>
        </w:rPr>
        <w:t>(</w:t>
      </w:r>
      <w:r w:rsidR="00E25D41">
        <w:rPr>
          <w:i/>
          <w:szCs w:val="24"/>
        </w:rPr>
        <w:t>a</w:t>
      </w:r>
      <w:r w:rsidR="00E25D41">
        <w:rPr>
          <w:szCs w:val="24"/>
        </w:rPr>
        <w:t xml:space="preserve">) </w:t>
      </w:r>
      <w:r w:rsidR="00BE7093" w:rsidRPr="004244FF">
        <w:rPr>
          <w:szCs w:val="24"/>
        </w:rPr>
        <w:t>is 2</w:t>
      </w:r>
      <w:r w:rsidR="00507EEC" w:rsidRPr="004244FF">
        <w:rPr>
          <w:szCs w:val="24"/>
        </w:rPr>
        <w:t xml:space="preserve"> and </w:t>
      </w:r>
      <w:r w:rsidR="00C83D3F">
        <w:rPr>
          <w:szCs w:val="24"/>
        </w:rPr>
        <w:t xml:space="preserve">the </w:t>
      </w:r>
      <w:r w:rsidR="00507EEC" w:rsidRPr="004244FF">
        <w:rPr>
          <w:szCs w:val="24"/>
        </w:rPr>
        <w:t>Ψ</w:t>
      </w:r>
      <w:r w:rsidR="00507EEC" w:rsidRPr="004244FF">
        <w:rPr>
          <w:szCs w:val="24"/>
          <w:vertAlign w:val="subscript"/>
        </w:rPr>
        <w:t>50</w:t>
      </w:r>
      <w:r w:rsidR="00CF4CF7" w:rsidRPr="004244FF">
        <w:rPr>
          <w:szCs w:val="24"/>
        </w:rPr>
        <w:t xml:space="preserve"> </w:t>
      </w:r>
      <w:r w:rsidR="00507EEC" w:rsidRPr="004244FF">
        <w:rPr>
          <w:szCs w:val="24"/>
        </w:rPr>
        <w:t>is -2 MPa.</w:t>
      </w:r>
      <w:r w:rsidR="00AE0085">
        <w:rPr>
          <w:szCs w:val="24"/>
        </w:rPr>
        <w:t xml:space="preserve"> The correlation coefficient indicate</w:t>
      </w:r>
      <w:r w:rsidR="00F334A6">
        <w:rPr>
          <w:szCs w:val="24"/>
        </w:rPr>
        <w:t>d</w:t>
      </w:r>
      <w:r w:rsidR="00AE0085">
        <w:rPr>
          <w:szCs w:val="24"/>
        </w:rPr>
        <w:t xml:space="preserve"> on each panel refers to the </w:t>
      </w:r>
      <w:r w:rsidR="003B3398">
        <w:rPr>
          <w:szCs w:val="24"/>
        </w:rPr>
        <w:t>agreement between</w:t>
      </w:r>
      <w:r w:rsidR="00DC45FD">
        <w:rPr>
          <w:szCs w:val="24"/>
        </w:rPr>
        <w:t xml:space="preserve"> the </w:t>
      </w:r>
      <w:proofErr w:type="spellStart"/>
      <w:r w:rsidR="00DC45FD" w:rsidRPr="00DC45FD">
        <w:rPr>
          <w:i/>
          <w:szCs w:val="24"/>
        </w:rPr>
        <w:t>k</w:t>
      </w:r>
      <w:r w:rsidR="00DC45FD" w:rsidRPr="00DC45FD">
        <w:rPr>
          <w:i/>
          <w:szCs w:val="24"/>
          <w:vertAlign w:val="subscript"/>
        </w:rPr>
        <w:t>cost</w:t>
      </w:r>
      <w:proofErr w:type="spellEnd"/>
      <w:r w:rsidR="00DC45FD">
        <w:rPr>
          <w:szCs w:val="24"/>
        </w:rPr>
        <w:t xml:space="preserve"> calculated using </w:t>
      </w:r>
      <w:proofErr w:type="gramStart"/>
      <w:r w:rsidR="003B3398" w:rsidRPr="003B3398">
        <w:rPr>
          <w:i/>
          <w:szCs w:val="24"/>
        </w:rPr>
        <w:t>f</w:t>
      </w:r>
      <w:r w:rsidR="003B3398">
        <w:rPr>
          <w:szCs w:val="24"/>
        </w:rPr>
        <w:t>(</w:t>
      </w:r>
      <w:proofErr w:type="spellStart"/>
      <w:proofErr w:type="gramEnd"/>
      <w:r w:rsidR="003B3398" w:rsidRPr="004244FF">
        <w:rPr>
          <w:szCs w:val="24"/>
        </w:rPr>
        <w:t>Ψ</w:t>
      </w:r>
      <w:r w:rsidR="003B3398" w:rsidRPr="004244FF">
        <w:rPr>
          <w:szCs w:val="24"/>
          <w:vertAlign w:val="subscript"/>
        </w:rPr>
        <w:t>c,mid</w:t>
      </w:r>
      <w:proofErr w:type="spellEnd"/>
      <w:r w:rsidR="003B3398">
        <w:rPr>
          <w:szCs w:val="24"/>
        </w:rPr>
        <w:t xml:space="preserve">) and equation 6. </w:t>
      </w:r>
    </w:p>
    <w:p w14:paraId="5237769E" w14:textId="34CE6743" w:rsidR="00197A7A" w:rsidRDefault="00197A7A" w:rsidP="00440A85">
      <w:pPr>
        <w:spacing w:line="360" w:lineRule="auto"/>
        <w:jc w:val="both"/>
        <w:rPr>
          <w:szCs w:val="24"/>
        </w:rPr>
      </w:pPr>
    </w:p>
    <w:p w14:paraId="09C0C7CD" w14:textId="5F745059" w:rsidR="00B337BC" w:rsidRDefault="007F1ECD" w:rsidP="004244FF">
      <w:pPr>
        <w:spacing w:line="360" w:lineRule="auto"/>
        <w:jc w:val="center"/>
        <w:rPr>
          <w:b/>
          <w:szCs w:val="24"/>
        </w:rPr>
      </w:pPr>
      <w:r>
        <w:rPr>
          <w:b/>
          <w:noProof/>
          <w:szCs w:val="24"/>
        </w:rPr>
        <w:lastRenderedPageBreak/>
        <w:drawing>
          <wp:inline distT="0" distB="0" distL="0" distR="0" wp14:anchorId="0C3B481E" wp14:editId="6B898BBC">
            <wp:extent cx="5709036" cy="3041015"/>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2.tiff"/>
                    <pic:cNvPicPr/>
                  </pic:nvPicPr>
                  <pic:blipFill rotWithShape="1">
                    <a:blip r:embed="rId9" cstate="print">
                      <a:extLst>
                        <a:ext uri="{28A0092B-C50C-407E-A947-70E740481C1C}">
                          <a14:useLocalDpi xmlns:a14="http://schemas.microsoft.com/office/drawing/2010/main" val="0"/>
                        </a:ext>
                      </a:extLst>
                    </a:blip>
                    <a:srcRect t="7273" r="5045"/>
                    <a:stretch/>
                  </pic:blipFill>
                  <pic:spPr bwMode="auto">
                    <a:xfrm>
                      <a:off x="0" y="0"/>
                      <a:ext cx="5709449" cy="3041235"/>
                    </a:xfrm>
                    <a:prstGeom prst="rect">
                      <a:avLst/>
                    </a:prstGeom>
                    <a:ln>
                      <a:noFill/>
                    </a:ln>
                    <a:extLst>
                      <a:ext uri="{53640926-AAD7-44D8-BBD7-CCE9431645EC}">
                        <a14:shadowObscured xmlns:a14="http://schemas.microsoft.com/office/drawing/2010/main"/>
                      </a:ext>
                    </a:extLst>
                  </pic:spPr>
                </pic:pic>
              </a:graphicData>
            </a:graphic>
          </wp:inline>
        </w:drawing>
      </w:r>
    </w:p>
    <w:p w14:paraId="062101CD" w14:textId="3D9A1E84" w:rsidR="00197A7A" w:rsidRPr="004244FF" w:rsidRDefault="00197A7A" w:rsidP="00440A85">
      <w:pPr>
        <w:spacing w:line="360" w:lineRule="auto"/>
        <w:jc w:val="both"/>
        <w:rPr>
          <w:b/>
          <w:szCs w:val="24"/>
        </w:rPr>
      </w:pPr>
      <w:r w:rsidRPr="004244FF">
        <w:rPr>
          <w:b/>
          <w:szCs w:val="24"/>
        </w:rPr>
        <w:t>Figure S2</w:t>
      </w:r>
      <w:bookmarkStart w:id="0" w:name="_Hlk524279926"/>
      <w:r w:rsidRPr="004244FF">
        <w:rPr>
          <w:b/>
          <w:szCs w:val="24"/>
        </w:rPr>
        <w:t xml:space="preserve">. </w:t>
      </w:r>
      <w:r w:rsidR="0094369A">
        <w:rPr>
          <w:szCs w:val="24"/>
        </w:rPr>
        <w:t xml:space="preserve">Effect of different </w:t>
      </w:r>
      <w:r w:rsidR="004F7A50">
        <w:rPr>
          <w:szCs w:val="24"/>
        </w:rPr>
        <w:t>critical values of hydraulic conductance (</w:t>
      </w:r>
      <w:proofErr w:type="spellStart"/>
      <w:r w:rsidR="004F7A50" w:rsidRPr="00B04E6A">
        <w:rPr>
          <w:i/>
          <w:szCs w:val="24"/>
        </w:rPr>
        <w:t>k</w:t>
      </w:r>
      <w:r w:rsidR="004F7A50" w:rsidRPr="00B04E6A">
        <w:rPr>
          <w:i/>
          <w:szCs w:val="24"/>
          <w:vertAlign w:val="subscript"/>
        </w:rPr>
        <w:t>crit</w:t>
      </w:r>
      <w:proofErr w:type="spellEnd"/>
      <w:r w:rsidR="004F7A50">
        <w:rPr>
          <w:szCs w:val="24"/>
        </w:rPr>
        <w:t xml:space="preserve">) for the computation of the </w:t>
      </w:r>
      <w:r w:rsidR="00AB5384">
        <w:rPr>
          <w:szCs w:val="24"/>
        </w:rPr>
        <w:t>normalised root to canopy hydraulic conductance (</w:t>
      </w:r>
      <w:proofErr w:type="spellStart"/>
      <w:r w:rsidR="0094369A" w:rsidRPr="004244FF">
        <w:rPr>
          <w:i/>
          <w:szCs w:val="24"/>
        </w:rPr>
        <w:t>k</w:t>
      </w:r>
      <w:r w:rsidR="0094369A" w:rsidRPr="004244FF">
        <w:rPr>
          <w:i/>
          <w:szCs w:val="24"/>
          <w:vertAlign w:val="subscript"/>
        </w:rPr>
        <w:t>cost</w:t>
      </w:r>
      <w:proofErr w:type="spellEnd"/>
      <w:r w:rsidR="00AB5384">
        <w:rPr>
          <w:szCs w:val="24"/>
        </w:rPr>
        <w:t>)</w:t>
      </w:r>
      <w:bookmarkEnd w:id="0"/>
      <w:r w:rsidR="0094369A">
        <w:rPr>
          <w:szCs w:val="24"/>
        </w:rPr>
        <w:t xml:space="preserve">. The default SOX formulation assumes </w:t>
      </w:r>
      <w:proofErr w:type="spellStart"/>
      <w:r w:rsidR="00822F27" w:rsidRPr="004244FF">
        <w:rPr>
          <w:i/>
          <w:szCs w:val="24"/>
        </w:rPr>
        <w:t>k</w:t>
      </w:r>
      <w:r w:rsidR="00822F27" w:rsidRPr="004244FF">
        <w:rPr>
          <w:i/>
          <w:szCs w:val="24"/>
          <w:vertAlign w:val="subscript"/>
        </w:rPr>
        <w:t>crit</w:t>
      </w:r>
      <w:proofErr w:type="spellEnd"/>
      <w:r w:rsidR="00822F27">
        <w:rPr>
          <w:szCs w:val="24"/>
        </w:rPr>
        <w:t xml:space="preserve"> = 0</w:t>
      </w:r>
      <w:r w:rsidR="00BC02DB">
        <w:rPr>
          <w:szCs w:val="24"/>
        </w:rPr>
        <w:t xml:space="preserve"> (black line), the yellow and red line indicate the model predictions </w:t>
      </w:r>
      <w:r w:rsidR="00A34DCE">
        <w:rPr>
          <w:szCs w:val="24"/>
        </w:rPr>
        <w:t xml:space="preserve">assuming </w:t>
      </w:r>
      <w:proofErr w:type="spellStart"/>
      <w:r w:rsidR="00A34DCE" w:rsidRPr="004244FF">
        <w:rPr>
          <w:i/>
          <w:szCs w:val="24"/>
        </w:rPr>
        <w:t>k</w:t>
      </w:r>
      <w:r w:rsidR="00A34DCE" w:rsidRPr="004244FF">
        <w:rPr>
          <w:i/>
          <w:szCs w:val="24"/>
          <w:vertAlign w:val="subscript"/>
        </w:rPr>
        <w:t>crit</w:t>
      </w:r>
      <w:proofErr w:type="spellEnd"/>
      <w:r w:rsidR="00A34DCE">
        <w:rPr>
          <w:szCs w:val="24"/>
        </w:rPr>
        <w:t xml:space="preserve"> </w:t>
      </w:r>
      <w:r w:rsidR="00984206">
        <w:rPr>
          <w:szCs w:val="24"/>
        </w:rPr>
        <w:t>=</w:t>
      </w:r>
      <w:r w:rsidR="00A34DCE">
        <w:rPr>
          <w:szCs w:val="24"/>
        </w:rPr>
        <w:t xml:space="preserve"> 0.12</w:t>
      </w:r>
      <w:r w:rsidR="00A24D08">
        <w:rPr>
          <w:szCs w:val="24"/>
        </w:rPr>
        <w:t>∙</w:t>
      </w:r>
      <w:r w:rsidR="00A24D08" w:rsidRPr="004244FF">
        <w:rPr>
          <w:i/>
          <w:szCs w:val="24"/>
        </w:rPr>
        <w:t>k</w:t>
      </w:r>
      <w:r w:rsidR="00A24D08" w:rsidRPr="004244FF">
        <w:rPr>
          <w:i/>
          <w:szCs w:val="24"/>
          <w:vertAlign w:val="subscript"/>
        </w:rPr>
        <w:t>rc</w:t>
      </w:r>
      <w:proofErr w:type="gramStart"/>
      <w:r w:rsidR="00A24D08" w:rsidRPr="004244FF">
        <w:rPr>
          <w:i/>
          <w:szCs w:val="24"/>
          <w:vertAlign w:val="subscript"/>
        </w:rPr>
        <w:t>,max</w:t>
      </w:r>
      <w:proofErr w:type="gramEnd"/>
      <w:r w:rsidR="00A34DCE">
        <w:rPr>
          <w:szCs w:val="24"/>
        </w:rPr>
        <w:t xml:space="preserve"> or </w:t>
      </w:r>
      <w:proofErr w:type="spellStart"/>
      <w:r w:rsidR="00A24D08" w:rsidRPr="00B04E6A">
        <w:rPr>
          <w:i/>
          <w:szCs w:val="24"/>
        </w:rPr>
        <w:t>k</w:t>
      </w:r>
      <w:r w:rsidR="00A24D08" w:rsidRPr="00B04E6A">
        <w:rPr>
          <w:i/>
          <w:szCs w:val="24"/>
          <w:vertAlign w:val="subscript"/>
        </w:rPr>
        <w:t>crit</w:t>
      </w:r>
      <w:proofErr w:type="spellEnd"/>
      <w:r w:rsidR="00A24D08">
        <w:rPr>
          <w:szCs w:val="24"/>
        </w:rPr>
        <w:t xml:space="preserve"> = 0.5∙</w:t>
      </w:r>
      <w:r w:rsidR="00A24D08" w:rsidRPr="00B04E6A">
        <w:rPr>
          <w:i/>
          <w:szCs w:val="24"/>
        </w:rPr>
        <w:t>k</w:t>
      </w:r>
      <w:r w:rsidR="00A24D08" w:rsidRPr="00B04E6A">
        <w:rPr>
          <w:i/>
          <w:szCs w:val="24"/>
          <w:vertAlign w:val="subscript"/>
        </w:rPr>
        <w:t>rc,max</w:t>
      </w:r>
      <w:r w:rsidR="00984206">
        <w:rPr>
          <w:szCs w:val="24"/>
        </w:rPr>
        <w:t>.</w:t>
      </w:r>
      <w:r w:rsidR="00F53B9E">
        <w:rPr>
          <w:szCs w:val="24"/>
        </w:rPr>
        <w:t xml:space="preserve"> Plant and environmental inputs used in these simulations are given in Table 1. </w:t>
      </w:r>
      <w:r w:rsidR="00984206">
        <w:rPr>
          <w:szCs w:val="24"/>
        </w:rPr>
        <w:t xml:space="preserve"> </w:t>
      </w:r>
      <w:r w:rsidR="00A34DCE">
        <w:rPr>
          <w:szCs w:val="24"/>
        </w:rPr>
        <w:t xml:space="preserve"> </w:t>
      </w:r>
      <w:r w:rsidR="00CB184B">
        <w:rPr>
          <w:szCs w:val="24"/>
        </w:rPr>
        <w:t xml:space="preserve"> </w:t>
      </w:r>
      <w:r w:rsidR="00822F27">
        <w:rPr>
          <w:szCs w:val="24"/>
        </w:rPr>
        <w:t xml:space="preserve"> </w:t>
      </w:r>
      <w:r w:rsidR="00AB5384">
        <w:rPr>
          <w:szCs w:val="24"/>
        </w:rPr>
        <w:t xml:space="preserve">  </w:t>
      </w:r>
    </w:p>
    <w:p w14:paraId="31FDB36B" w14:textId="6CD8E3B7" w:rsidR="0071509E" w:rsidRPr="004244FF" w:rsidRDefault="0071509E" w:rsidP="00440A85">
      <w:pPr>
        <w:spacing w:line="360" w:lineRule="auto"/>
        <w:jc w:val="both"/>
        <w:rPr>
          <w:szCs w:val="24"/>
        </w:rPr>
      </w:pPr>
    </w:p>
    <w:p w14:paraId="57A4C722" w14:textId="677853AB" w:rsidR="0071509E" w:rsidRPr="004244FF" w:rsidRDefault="0071509E" w:rsidP="00440A85">
      <w:pPr>
        <w:spacing w:line="360" w:lineRule="auto"/>
        <w:jc w:val="both"/>
        <w:rPr>
          <w:szCs w:val="24"/>
        </w:rPr>
      </w:pPr>
    </w:p>
    <w:p w14:paraId="0E2EABAE" w14:textId="2F7CDC8C" w:rsidR="0071509E" w:rsidRPr="004244FF" w:rsidRDefault="0071509E" w:rsidP="00440A85">
      <w:pPr>
        <w:spacing w:line="360" w:lineRule="auto"/>
        <w:jc w:val="both"/>
        <w:rPr>
          <w:szCs w:val="24"/>
        </w:rPr>
      </w:pPr>
    </w:p>
    <w:p w14:paraId="6425B263" w14:textId="15395D67" w:rsidR="0071509E" w:rsidRPr="004244FF" w:rsidRDefault="0071509E" w:rsidP="00440A85">
      <w:pPr>
        <w:spacing w:line="360" w:lineRule="auto"/>
        <w:jc w:val="both"/>
        <w:rPr>
          <w:szCs w:val="24"/>
        </w:rPr>
      </w:pPr>
    </w:p>
    <w:p w14:paraId="54C0FF4D" w14:textId="0B0F005F" w:rsidR="0071509E" w:rsidRPr="004244FF" w:rsidRDefault="0071509E" w:rsidP="00440A85">
      <w:pPr>
        <w:spacing w:line="360" w:lineRule="auto"/>
        <w:jc w:val="both"/>
        <w:rPr>
          <w:szCs w:val="24"/>
        </w:rPr>
      </w:pPr>
    </w:p>
    <w:p w14:paraId="6831C6E6" w14:textId="5DC68C26" w:rsidR="0007297E" w:rsidRDefault="00F852B9">
      <w:pPr>
        <w:spacing w:line="360" w:lineRule="auto"/>
        <w:jc w:val="both"/>
        <w:rPr>
          <w:bCs/>
          <w:szCs w:val="24"/>
        </w:rPr>
      </w:pPr>
      <w:r>
        <w:rPr>
          <w:noProof/>
          <w:szCs w:val="24"/>
        </w:rPr>
        <w:lastRenderedPageBreak/>
        <w:drawing>
          <wp:anchor distT="0" distB="0" distL="114300" distR="114300" simplePos="0" relativeHeight="251658240" behindDoc="1" locked="0" layoutInCell="1" allowOverlap="1" wp14:anchorId="31A693A7" wp14:editId="2EB49B4F">
            <wp:simplePos x="0" y="0"/>
            <wp:positionH relativeFrom="margin">
              <wp:align>left</wp:align>
            </wp:positionH>
            <wp:positionV relativeFrom="paragraph">
              <wp:posOffset>0</wp:posOffset>
            </wp:positionV>
            <wp:extent cx="4563110" cy="8105775"/>
            <wp:effectExtent l="0" t="0" r="8890" b="9525"/>
            <wp:wrapTight wrapText="bothSides">
              <wp:wrapPolygon edited="0">
                <wp:start x="0" y="0"/>
                <wp:lineTo x="0" y="21575"/>
                <wp:lineTo x="21552" y="21575"/>
                <wp:lineTo x="215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2.tif"/>
                    <pic:cNvPicPr/>
                  </pic:nvPicPr>
                  <pic:blipFill rotWithShape="1">
                    <a:blip r:embed="rId10" cstate="print">
                      <a:extLst>
                        <a:ext uri="{28A0092B-C50C-407E-A947-70E740481C1C}">
                          <a14:useLocalDpi xmlns:a14="http://schemas.microsoft.com/office/drawing/2010/main" val="0"/>
                        </a:ext>
                      </a:extLst>
                    </a:blip>
                    <a:srcRect r="2386" b="14015"/>
                    <a:stretch/>
                  </pic:blipFill>
                  <pic:spPr bwMode="auto">
                    <a:xfrm>
                      <a:off x="0" y="0"/>
                      <a:ext cx="4563110" cy="810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97E" w:rsidRPr="00993651">
        <w:rPr>
          <w:b/>
          <w:szCs w:val="24"/>
        </w:rPr>
        <w:t>Figure S</w:t>
      </w:r>
      <w:r w:rsidR="0007297E">
        <w:rPr>
          <w:b/>
          <w:szCs w:val="24"/>
        </w:rPr>
        <w:t>3</w:t>
      </w:r>
      <w:r w:rsidR="0007297E" w:rsidRPr="00993651">
        <w:rPr>
          <w:b/>
          <w:szCs w:val="24"/>
        </w:rPr>
        <w:t xml:space="preserve">. </w:t>
      </w:r>
      <w:r w:rsidR="0007297E" w:rsidRPr="00993651">
        <w:rPr>
          <w:szCs w:val="24"/>
        </w:rPr>
        <w:t>The three</w:t>
      </w:r>
      <w:r w:rsidR="0007297E" w:rsidRPr="00993651">
        <w:rPr>
          <w:b/>
          <w:szCs w:val="24"/>
        </w:rPr>
        <w:t xml:space="preserve"> </w:t>
      </w:r>
      <w:r w:rsidR="0007297E" w:rsidRPr="00993651">
        <w:rPr>
          <w:szCs w:val="24"/>
        </w:rPr>
        <w:t xml:space="preserve">Amazon forest sites used in our study. The three sites are dominated by evergreen broadleaf </w:t>
      </w:r>
      <w:r w:rsidR="0007297E" w:rsidRPr="00993651">
        <w:rPr>
          <w:i/>
          <w:szCs w:val="24"/>
        </w:rPr>
        <w:t xml:space="preserve">terra </w:t>
      </w:r>
      <w:proofErr w:type="spellStart"/>
      <w:r w:rsidR="0007297E" w:rsidRPr="00993651">
        <w:rPr>
          <w:i/>
          <w:szCs w:val="24"/>
        </w:rPr>
        <w:t>firme</w:t>
      </w:r>
      <w:proofErr w:type="spellEnd"/>
      <w:r w:rsidR="0007297E" w:rsidRPr="00FC3E0A">
        <w:rPr>
          <w:szCs w:val="24"/>
        </w:rPr>
        <w:t xml:space="preserve"> tropical forest </w:t>
      </w:r>
      <w:r w:rsidR="0007297E" w:rsidRPr="00993651">
        <w:rPr>
          <w:szCs w:val="24"/>
        </w:rPr>
        <w:fldChar w:fldCharType="begin" w:fldLock="1"/>
      </w:r>
      <w:r w:rsidR="00BC06F6">
        <w:rPr>
          <w:szCs w:val="24"/>
        </w:rPr>
        <w:instrText>ADDIN CSL_CITATION {"citationItems":[{"id":"ITEM-1","itemData":{"DOI":"10.1111/j.1365-2486.2008.01780.x","ISBN":"1354-1013","ISSN":"13541013","abstract":"The allocation and cycling of carbon (C) within forests is an important component of the biospheric C cycle, but is particularly understudied within tropical forests. We synthesise reported and unpublished results from three lowland rainforest sites in Amazonia (in the regions of Manaus, Tapajo's and Caxiuana~), all major sites of the Large-Scale Biosphere- Atmosphere Programme (LBA). We attempt a comprehensive synthesis of the C stocks, nutrient status and, particularly, the allocation and internal C dynamics of all three sites. The calculated net primary productivities (NPP) are 10.1 1.4MgCha1 yr1 (Manaus), 14.4 1.3MgCha1 yr1 (Tapajo's) and 10.0 1.2MgCha1 yr1 (Caxiuana~). All errors bars report standard errors. Soil and leaf nutrient analyses indicate that Tapajo's has significantly more plant-available phosphorus and calcium. Autotrophic respiration at all three sites (14.9-21.4MgCha yr1) is more challenging to measure, with the largest component and greatest source of uncertainty being leaf dark respiration. Comparison of measured soil respiration with that predicted from C cycling measurements provides an independent constraint. It shows general good agreement at all three sites, with perhaps some evidence for measured soil respiration being less than expected. Twenty to thirty percent of fixed C is allocated belowground. Comparison of gross primary productivity (GPP), derived from ecosystem flux measurements with that derived from component studies (NPP plus autotrophic respiration) provides an additional crosscheck. The two approaches are in good agreement, giving increased confidence in both approaches to estimating GPP. The ecosystem carbon-use efficiency (CUEs), the ratio of NPP to GPP, is similar at Manaus (0.34 0.10) and Caxiuana~ (0.32 0.07), butmay be higher at Tapajo's (0.49 0.16), although the difference is not significant. Old growth or infertile tropical forests may have low CUE compared with recently disturbed and/or fertile forests","author":[{"dropping-particle":"","family":"Malhi","given":"Yadvinder","non-dropping-particle":"","parse-names":false,"suffix":""},{"dropping-particle":"","family":"Aragão","given":"Luiz Eduardo O.C.","non-dropping-particle":"","parse-names":false,"suffix":""},{"dropping-particle":"","family":"Metcalfe","given":"Daniel B.","non-dropping-particle":"","parse-names":false,"suffix":""},{"dropping-particle":"","family":"Paiva","given":"Romilda","non-dropping-particle":"","parse-names":false,"suffix":""},{"dropping-particle":"","family":"Quesada","given":"Carlos A.","non-dropping-particle":"","parse-names":false,"suffix":""},{"dropping-particle":"","family":"Almeida","given":"Samuel","non-dropping-particle":"","parse-names":false,"suffix":""},{"dropping-particle":"","family":"Anderson","given":"Liana","non-dropping-particle":"","parse-names":false,"suffix":""},{"dropping-particle":"","family":"Brando","given":"Paulo","non-dropping-particle":"","parse-names":false,"suffix":""},{"dropping-particle":"","family":"Chambers","given":"Jeffrey Q.","non-dropping-particle":"","parse-names":false,"suffix":""},{"dropping-particle":"","family":"Costa","given":"Antonio C.L.","non-dropping-particle":"da","parse-names":false,"suffix":""},{"dropping-particle":"","family":"Hutyra","given":"Lucy R.","non-dropping-particle":"","parse-names":false,"suffix":""},{"dropping-particle":"","family":"Oliveira","given":"Paulo","non-dropping-particle":"","parse-names":false,"suffix":""},{"dropping-particle":"","family":"Patiño","given":"Sandra","non-dropping-particle":"","parse-names":false,"suffix":""},{"dropping-particle":"","family":"Pyle","given":"Elizabeth H.","non-dropping-particle":"","parse-names":false,"suffix":""},{"dropping-particle":"","family":"Robertson","given":"Amanda L.","non-dropping-particle":"","parse-names":false,"suffix":""},{"dropping-particle":"","family":"Teixeira","given":"Lilliane M.","non-dropping-particle":"","parse-names":false,"suffix":""}],"container-title":"Global Change Biology","id":"ITEM-1","issue":"5","issued":{"date-parts":[["2009"]]},"page":"1255-1274","title":"Comprehensive assessment of carbon productivity, allocation and storage in three Amazonian forests","type":"article-journal","volume":"15"},"uris":["http://www.mendeley.com/documents/?uuid=5de61e3e-26bf-40cf-accc-865f950db058"]}],"mendeley":{"formattedCitation":"[21]","plainTextFormattedCitation":"[21]","previouslyFormattedCitation":"[21]"},"properties":{"noteIndex":0},"schema":"https://github.com/citation-style-language/schema/raw/master/csl-citation.json"}</w:instrText>
      </w:r>
      <w:r w:rsidR="0007297E" w:rsidRPr="00993651">
        <w:rPr>
          <w:szCs w:val="24"/>
        </w:rPr>
        <w:fldChar w:fldCharType="separate"/>
      </w:r>
      <w:r w:rsidR="006015F6" w:rsidRPr="006015F6">
        <w:rPr>
          <w:noProof/>
          <w:szCs w:val="24"/>
        </w:rPr>
        <w:t>[21]</w:t>
      </w:r>
      <w:r w:rsidR="0007297E" w:rsidRPr="00993651">
        <w:rPr>
          <w:szCs w:val="24"/>
        </w:rPr>
        <w:fldChar w:fldCharType="end"/>
      </w:r>
      <w:r w:rsidR="0007297E" w:rsidRPr="00993651">
        <w:rPr>
          <w:szCs w:val="24"/>
        </w:rPr>
        <w:t xml:space="preserve">. The </w:t>
      </w:r>
      <w:r w:rsidR="0007297E" w:rsidRPr="00993651">
        <w:rPr>
          <w:bCs/>
          <w:szCs w:val="24"/>
        </w:rPr>
        <w:t>Caxiuanã</w:t>
      </w:r>
      <w:r w:rsidR="0007297E" w:rsidRPr="00993651">
        <w:rPr>
          <w:szCs w:val="24"/>
        </w:rPr>
        <w:t xml:space="preserve"> national forest site (CAX; 1°43’ S, 51°27’ W) has a mean annual precipitation of 2272</w:t>
      </w:r>
      <w:r w:rsidR="0007297E" w:rsidRPr="00FC3E0A">
        <w:rPr>
          <w:szCs w:val="24"/>
        </w:rPr>
        <w:t xml:space="preserve"> mm </w:t>
      </w:r>
      <w:r w:rsidR="0007297E" w:rsidRPr="00993651">
        <w:rPr>
          <w:szCs w:val="24"/>
        </w:rPr>
        <w:fldChar w:fldCharType="begin" w:fldLock="1"/>
      </w:r>
      <w:r w:rsidR="009C423F">
        <w:rPr>
          <w:szCs w:val="24"/>
        </w:rPr>
        <w:instrText>ADDIN CSL_CITATION {"citationItems":[{"id":"ITEM-1","itemData":{"DOI":"10.1111/j.1365-2486.2007.01417.x","ISBN":"1354-1013","ISSN":"13541013","abstract":"Warmer and drier climates over Eastern Amazonia have been predicted as a component of climate change during the next 50-100 years. It remains unclear what effect such changes will have on forest-atmosphere exchange of carbon dioxide (CO2) and water, but the cumulative effect is anticipated to produce climatic feedback at both regional and global scales. To allow more detailed study of forest responses to soil drying, a simulated soil drought or 'throughfall exclusion' (TFE) experiment was established at a rain forest site in Eastern Amazonia, Brazil, for which time-series sap flow and soil moisture data were obtained. The experiment excluded 50% of the throughfall from the soil. Sap flow data from the forest plot experiencing normal rainfall showed no limitation of transpiration throughout the two monitored dry seasons. Conversely, data from the TFE showed large dry season declines in transpiration, with tree water use restricted to 20% of that in the control plot at the peak of both dry seasons. The results were examined to evaluate the paradigm that the restriction on transpiration in the dry season was caused by limitation of soil-to-root water transport, driven by low soil water potential and high soilto- root hydraulic resistance. This paradigm, embedded in the soil-plant-atmosphere (SPA) model and driven using on-site measurements, provided a good explanation (R240.69) of the magnitude and timing of changes in sap flow and soil moisture. This model-data correspondence represents a substantial improvement compared with other ecosystem models of drought stress tested in Amazonia. Inclusion of deeper rooting should lead to lower sensitivity to drought than the majority of existing models. Modelled annual GPP declined by 13-14% in response to the treatment, compared with estimated declines in transpiration of 30-40%","author":[{"dropping-particle":"","family":"Fisher","given":"Rosie A.","non-dropping-particle":"","parse-names":false,"suffix":""},{"dropping-particle":"","family":"Williams","given":"M.","non-dropping-particle":"","parse-names":false,"suffix":""},{"dropping-particle":"","family":"Costa","given":"A. Lola","non-dropping-particle":"da","parse-names":false,"suffix":""},{"dropping-particle":"","family":"Malhi","given":"Y.","non-dropping-particle":"","parse-names":false,"suffix":""},{"dropping-particle":"","family":"Costa","given":"R. F.","non-dropping-particle":"da","parse-names":false,"suffix":""},{"dropping-particle":"","family":"Almeida","given":"S.","non-dropping-particle":"","parse-names":false,"suffix":""},{"dropping-particle":"","family":"Meir","given":"P.","non-dropping-particle":"","parse-names":false,"suffix":""}],"container-title":"Global Change Biology","id":"ITEM-1","issue":"11","issued":{"date-parts":[["2007"]]},"page":"2361-2378","title":"The response of an Eastern Amazonian rain forest to drought stress: Results and modelling analyses from a throughfall exclusion experiment","type":"article-journal","volume":"13"},"uris":["http://www.mendeley.com/documents/?uuid=007026a9-8fc3-4394-bbaa-bd874dd82e3e"]}],"mendeley":{"formattedCitation":"[15]","plainTextFormattedCitation":"[15]","previouslyFormattedCitation":"[15]"},"properties":{"noteIndex":0},"schema":"https://github.com/citation-style-language/schema/raw/master/csl-citation.json"}</w:instrText>
      </w:r>
      <w:r w:rsidR="0007297E" w:rsidRPr="00993651">
        <w:rPr>
          <w:szCs w:val="24"/>
        </w:rPr>
        <w:fldChar w:fldCharType="separate"/>
      </w:r>
      <w:r w:rsidR="000E01C5" w:rsidRPr="000E01C5">
        <w:rPr>
          <w:noProof/>
          <w:szCs w:val="24"/>
        </w:rPr>
        <w:t>[15]</w:t>
      </w:r>
      <w:r w:rsidR="0007297E" w:rsidRPr="00993651">
        <w:rPr>
          <w:szCs w:val="24"/>
        </w:rPr>
        <w:fldChar w:fldCharType="end"/>
      </w:r>
      <w:r w:rsidR="0007297E" w:rsidRPr="00993651">
        <w:rPr>
          <w:szCs w:val="24"/>
        </w:rPr>
        <w:t xml:space="preserve"> land soils are predominantly clay-rich </w:t>
      </w:r>
      <w:proofErr w:type="spellStart"/>
      <w:r w:rsidR="0007297E" w:rsidRPr="00993651">
        <w:rPr>
          <w:szCs w:val="24"/>
        </w:rPr>
        <w:t>oxisols</w:t>
      </w:r>
      <w:proofErr w:type="spellEnd"/>
      <w:r w:rsidR="0007297E" w:rsidRPr="00993651">
        <w:rPr>
          <w:szCs w:val="24"/>
        </w:rPr>
        <w:t xml:space="preserve"> </w:t>
      </w:r>
      <w:r w:rsidR="0007297E" w:rsidRPr="00993651">
        <w:rPr>
          <w:szCs w:val="24"/>
        </w:rPr>
        <w:fldChar w:fldCharType="begin" w:fldLock="1"/>
      </w:r>
      <w:r w:rsidR="00BC06F6">
        <w:rPr>
          <w:szCs w:val="24"/>
        </w:rPr>
        <w:instrText>ADDIN CSL_CITATION {"citationItems":[{"id":"ITEM-1","itemData":{"DOI":"10.1111/j.1365-2486.2008.01780.x","ISBN":"1354-1013","ISSN":"13541013","abstract":"The allocation and cycling of carbon (C) within forests is an important component of the biospheric C cycle, but is particularly understudied within tropical forests. We synthesise reported and unpublished results from three lowland rainforest sites in Amazonia (in the regions of Manaus, Tapajo's and Caxiuana~), all major sites of the Large-Scale Biosphere- Atmosphere Programme (LBA). We attempt a comprehensive synthesis of the C stocks, nutrient status and, particularly, the allocation and internal C dynamics of all three sites. The calculated net primary productivities (NPP) are 10.1 1.4MgCha1 yr1 (Manaus), 14.4 1.3MgCha1 yr1 (Tapajo's) and 10.0 1.2MgCha1 yr1 (Caxiuana~). All errors bars report standard errors. Soil and leaf nutrient analyses indicate that Tapajo's has significantly more plant-available phosphorus and calcium. Autotrophic respiration at all three sites (14.9-21.4MgCha yr1) is more challenging to measure, with the largest component and greatest source of uncertainty being leaf dark respiration. Comparison of measured soil respiration with that predicted from C cycling measurements provides an independent constraint. It shows general good agreement at all three sites, with perhaps some evidence for measured soil respiration being less than expected. Twenty to thirty percent of fixed C is allocated belowground. Comparison of gross primary productivity (GPP), derived from ecosystem flux measurements with that derived from component studies (NPP plus autotrophic respiration) provides an additional crosscheck. The two approaches are in good agreement, giving increased confidence in both approaches to estimating GPP. The ecosystem carbon-use efficiency (CUEs), the ratio of NPP to GPP, is similar at Manaus (0.34 0.10) and Caxiuana~ (0.32 0.07), butmay be higher at Tapajo's (0.49 0.16), although the difference is not significant. Old growth or infertile tropical forests may have low CUE compared with recently disturbed and/or fertile forests","author":[{"dropping-particle":"","family":"Malhi","given":"Yadvinder","non-dropping-particle":"","parse-names":false,"suffix":""},{"dropping-particle":"","family":"Aragão","given":"Luiz Eduardo O.C.","non-dropping-particle":"","parse-names":false,"suffix":""},{"dropping-particle":"","family":"Metcalfe","given":"Daniel B.","non-dropping-particle":"","parse-names":false,"suffix":""},{"dropping-particle":"","family":"Paiva","given":"Romilda","non-dropping-particle":"","parse-names":false,"suffix":""},{"dropping-particle":"","family":"Quesada","given":"Carlos A.","non-dropping-particle":"","parse-names":false,"suffix":""},{"dropping-particle":"","family":"Almeida","given":"Samuel","non-dropping-particle":"","parse-names":false,"suffix":""},{"dropping-particle":"","family":"Anderson","given":"Liana","non-dropping-particle":"","parse-names":false,"suffix":""},{"dropping-particle":"","family":"Brando","given":"Paulo","non-dropping-particle":"","parse-names":false,"suffix":""},{"dropping-particle":"","family":"Chambers","given":"Jeffrey Q.","non-dropping-particle":"","parse-names":false,"suffix":""},{"dropping-particle":"","family":"Costa","given":"Antonio C.L.","non-dropping-particle":"da","parse-names":false,"suffix":""},{"dropping-particle":"","family":"Hutyra","given":"Lucy R.","non-dropping-particle":"","parse-names":false,"suffix":""},{"dropping-particle":"","family":"Oliveira","given":"Paulo","non-dropping-particle":"","parse-names":false,"suffix":""},{"dropping-particle":"","family":"Patiño","given":"Sandra","non-dropping-particle":"","parse-names":false,"suffix":""},{"dropping-particle":"","family":"Pyle","given":"Elizabeth H.","non-dropping-particle":"","parse-names":false,"suffix":""},{"dropping-particle":"","family":"Robertson","given":"Amanda L.","non-dropping-particle":"","parse-names":false,"suffix":""},{"dropping-particle":"","family":"Teixeira","given":"Lilliane M.","non-dropping-particle":"","parse-names":false,"suffix":""}],"container-title":"Global Change Biology","id":"ITEM-1","issue":"5","issued":{"date-parts":[["2009"]]},"page":"1255-1274","title":"Comprehensive assessment of carbon productivity, allocation and storage in three Amazonian forests","type":"article-journal","volume":"15"},"uris":["http://www.mendeley.com/documents/?uuid=5de61e3e-26bf-40cf-accc-865f950db058"]}],"mendeley":{"formattedCitation":"[21]","plainTextFormattedCitation":"[21]","previouslyFormattedCitation":"[21]"},"properties":{"noteIndex":0},"schema":"https://github.com/citation-style-language/schema/raw/master/csl-citation.json"}</w:instrText>
      </w:r>
      <w:r w:rsidR="0007297E" w:rsidRPr="00993651">
        <w:rPr>
          <w:szCs w:val="24"/>
        </w:rPr>
        <w:fldChar w:fldCharType="separate"/>
      </w:r>
      <w:r w:rsidR="006015F6" w:rsidRPr="006015F6">
        <w:rPr>
          <w:noProof/>
          <w:szCs w:val="24"/>
        </w:rPr>
        <w:t>[21]</w:t>
      </w:r>
      <w:r w:rsidR="0007297E" w:rsidRPr="00993651">
        <w:rPr>
          <w:szCs w:val="24"/>
        </w:rPr>
        <w:fldChar w:fldCharType="end"/>
      </w:r>
      <w:r w:rsidR="0007297E" w:rsidRPr="00993651">
        <w:rPr>
          <w:szCs w:val="24"/>
        </w:rPr>
        <w:t xml:space="preserve">. The Tapajós national forest site (TAP; 3°04’ S, 54°56’ W) has a mean annual precipitation of 2000 mm </w:t>
      </w:r>
      <w:r w:rsidR="0007297E" w:rsidRPr="00993651">
        <w:rPr>
          <w:szCs w:val="24"/>
        </w:rPr>
        <w:fldChar w:fldCharType="begin" w:fldLock="1"/>
      </w:r>
      <w:r w:rsidR="00BC06F6">
        <w:rPr>
          <w:szCs w:val="24"/>
        </w:rPr>
        <w:instrText xml:space="preserve">ADDIN CSL_CITATION {"citationItems":[{"id":"ITEM-1","itemData":{"DOI":"10.1029/2001JD000360","ISBN":"0747-7309","ISSN":"0148-0227","abstract":"Moist tropical forests in Amazonia and elsewhere are subjected to increasingly severe drought episodes through the El Niño–Southern Oscillation (ENSO) and possibly through deforestation-driven reductions in rainfall. The effects of this trend on tropical forest canopy dynamics, emissions of greenhouse gases, and other ecological functions are potentially large but poorly understood. We established a throughfall exclusion experiment in an east-central Amazon forest (Tapajós National Forest, Brazil) to help understand these effects. After 1-year intercalibration period of two 1-ha forest plots, we installed plastic panels and wooden gutters in the understory of one of the plots, thereby excluding </w:instrText>
      </w:r>
      <w:r w:rsidR="00BC06F6">
        <w:rPr>
          <w:rFonts w:ascii="Cambria Math" w:hAnsi="Cambria Math" w:cs="Cambria Math"/>
          <w:szCs w:val="24"/>
        </w:rPr>
        <w:instrText>∼</w:instrText>
      </w:r>
      <w:r w:rsidR="00BC06F6">
        <w:rPr>
          <w:szCs w:val="24"/>
        </w:rPr>
        <w:instrText xml:space="preserve">890 mm of throughfall during the exclusion period of 2000 (late January to early August) and </w:instrText>
      </w:r>
      <w:r w:rsidR="00BC06F6">
        <w:rPr>
          <w:rFonts w:ascii="Cambria Math" w:hAnsi="Cambria Math" w:cs="Cambria Math"/>
          <w:szCs w:val="24"/>
        </w:rPr>
        <w:instrText>∼</w:instrText>
      </w:r>
      <w:r w:rsidR="00BC06F6">
        <w:rPr>
          <w:szCs w:val="24"/>
        </w:rPr>
        <w:instrText xml:space="preserve">680 mm thus far in the exclusion period of 2001 (early January to late May). Average daily throughfall reaching the soil during the exclusion period in 2000 was 4.9 and 8.3 mm in the treatment and control plots and was 4.8 and 8.1 mm in 2001, respectively. During the first exclusion period, surface soil water content (0–2 m) declined by </w:instrText>
      </w:r>
      <w:r w:rsidR="00BC06F6">
        <w:rPr>
          <w:rFonts w:ascii="Cambria Math" w:hAnsi="Cambria Math" w:cs="Cambria Math"/>
          <w:szCs w:val="24"/>
        </w:rPr>
        <w:instrText>∼</w:instrText>
      </w:r>
      <w:r w:rsidR="00BC06F6">
        <w:rPr>
          <w:szCs w:val="24"/>
        </w:rPr>
        <w:instrText xml:space="preserve">100 mm, while deep soil water (2–11 m) was unaffected. During the second exclusion period, which began shortly after the dry season when soil water content was low, surface and deep soil water content declined by </w:instrText>
      </w:r>
      <w:r w:rsidR="00BC06F6">
        <w:rPr>
          <w:rFonts w:ascii="Cambria Math" w:hAnsi="Cambria Math" w:cs="Cambria Math"/>
          <w:szCs w:val="24"/>
        </w:rPr>
        <w:instrText>∼</w:instrText>
      </w:r>
      <w:r w:rsidR="00BC06F6">
        <w:rPr>
          <w:szCs w:val="24"/>
        </w:rPr>
        <w:instrText>140 and 160 mm, respectively. Although this depletion of soil water provoked no detectable increase in leaf drought stress (i.e., no reduction in predawn leaf water potential), photosynthetic capacity declined for some species, the canopy thinned (greater canopy openness and lower leaf area index) during the second exclusion period, stem radial growth of trees &lt;15 m tall declined, and fine litterfall declined in the treatment plot, as did tree fruiting. Aboveground net primary productivity (NPP) (stemwood increment and fine litter production) declined by one fourth, from 15.1 to 11.4 Mg ha−1 yr−1, in the treatment plot and decreased slightly, from 11.9 to 11.5 Mg ha−1 yr−1, in the control plot. Stem respiration varied seasonally and was correlated with stem radial growth but showed no treatment response. The fastest response to the throughfall exclusion, and the surface soil moisture deficits that it provoked, was found in the soil itself. The treatment reduced N2O emissions and increased CH4 consumption relative to the control plot, presumably in response to the improved soil aeration that is associated with soil drying. Our …","author":[{"dropping-particle":"","family":"Nepstad","given":"D. C.","non-dropping-particle":"","parse-names":false,"suffix":""}],"container-title":"Journal of Geophysical Research","id":"ITEM-1","issue":"D20","issued":{"date-parts":[["2002"]]},"page":"8085","title":"The effects of partial throughfall exclusion on canopy processes, aboveground production, and biogeochemistry of an Amazon forest","type":"article-journal","volume":"107"},"uris":["http://www.mendeley.com/documents/?uuid=79b5469d-ace1-44ce-9e82-2dc3f82f6ad8"]}],"mendeley":{"formattedCitation":"[22]","plainTextFormattedCitation":"[22]","previouslyFormattedCitation":"[22]"},"properties":{"noteIndex":0},"schema":"https://github.com/citation-style-language/schema/raw/master/csl-citation.json"}</w:instrText>
      </w:r>
      <w:r w:rsidR="0007297E" w:rsidRPr="00993651">
        <w:rPr>
          <w:szCs w:val="24"/>
        </w:rPr>
        <w:fldChar w:fldCharType="separate"/>
      </w:r>
      <w:r w:rsidR="006015F6" w:rsidRPr="006015F6">
        <w:rPr>
          <w:noProof/>
          <w:szCs w:val="24"/>
        </w:rPr>
        <w:t>[22]</w:t>
      </w:r>
      <w:r w:rsidR="0007297E" w:rsidRPr="00993651">
        <w:rPr>
          <w:szCs w:val="24"/>
        </w:rPr>
        <w:fldChar w:fldCharType="end"/>
      </w:r>
      <w:r w:rsidR="0007297E" w:rsidRPr="00993651">
        <w:rPr>
          <w:szCs w:val="24"/>
        </w:rPr>
        <w:t xml:space="preserve"> and is located in a flat high plateau with a deep-water table and clay-rich </w:t>
      </w:r>
      <w:proofErr w:type="spellStart"/>
      <w:r w:rsidR="0007297E" w:rsidRPr="00993651">
        <w:rPr>
          <w:szCs w:val="24"/>
        </w:rPr>
        <w:t>oxisols</w:t>
      </w:r>
      <w:proofErr w:type="spellEnd"/>
      <w:r w:rsidR="0007297E" w:rsidRPr="00993651">
        <w:rPr>
          <w:szCs w:val="24"/>
        </w:rPr>
        <w:t xml:space="preserve"> interspersed with sandier patches </w:t>
      </w:r>
      <w:r w:rsidR="0007297E" w:rsidRPr="00993651">
        <w:rPr>
          <w:szCs w:val="24"/>
        </w:rPr>
        <w:fldChar w:fldCharType="begin" w:fldLock="1"/>
      </w:r>
      <w:r w:rsidR="00BC06F6">
        <w:rPr>
          <w:szCs w:val="24"/>
        </w:rPr>
        <w:instrText>ADDIN CSL_CITATION {"citationItems":[{"id":"ITEM-1","itemData":{"DOI":"10.1111/j.1365-2486.2008.01780.x","ISBN":"1354-1013","ISSN":"13541013","abstract":"The allocation and cycling of carbon (C) within forests is an important component of the biospheric C cycle, but is particularly understudied within tropical forests. We synthesise reported and unpublished results from three lowland rainforest sites in Amazonia (in the regions of Manaus, Tapajo's and Caxiuana~), all major sites of the Large-Scale Biosphere- Atmosphere Programme (LBA). We attempt a comprehensive synthesis of the C stocks, nutrient status and, particularly, the allocation and internal C dynamics of all three sites. The calculated net primary productivities (NPP) are 10.1 1.4MgCha1 yr1 (Manaus), 14.4 1.3MgCha1 yr1 (Tapajo's) and 10.0 1.2MgCha1 yr1 (Caxiuana~). All errors bars report standard errors. Soil and leaf nutrient analyses indicate that Tapajo's has significantly more plant-available phosphorus and calcium. Autotrophic respiration at all three sites (14.9-21.4MgCha yr1) is more challenging to measure, with the largest component and greatest source of uncertainty being leaf dark respiration. Comparison of measured soil respiration with that predicted from C cycling measurements provides an independent constraint. It shows general good agreement at all three sites, with perhaps some evidence for measured soil respiration being less than expected. Twenty to thirty percent of fixed C is allocated belowground. Comparison of gross primary productivity (GPP), derived from ecosystem flux measurements with that derived from component studies (NPP plus autotrophic respiration) provides an additional crosscheck. The two approaches are in good agreement, giving increased confidence in both approaches to estimating GPP. The ecosystem carbon-use efficiency (CUEs), the ratio of NPP to GPP, is similar at Manaus (0.34 0.10) and Caxiuana~ (0.32 0.07), butmay be higher at Tapajo's (0.49 0.16), although the difference is not significant. Old growth or infertile tropical forests may have low CUE compared with recently disturbed and/or fertile forests","author":[{"dropping-particle":"","family":"Malhi","given":"Yadvinder","non-dropping-particle":"","parse-names":false,"suffix":""},{"dropping-particle":"","family":"Aragão","given":"Luiz Eduardo O.C.","non-dropping-particle":"","parse-names":false,"suffix":""},{"dropping-particle":"","family":"Metcalfe","given":"Daniel B.","non-dropping-particle":"","parse-names":false,"suffix":""},{"dropping-particle":"","family":"Paiva","given":"Romilda","non-dropping-particle":"","parse-names":false,"suffix":""},{"dropping-particle":"","family":"Quesada","given":"Carlos A.","non-dropping-particle":"","parse-names":false,"suffix":""},{"dropping-particle":"","family":"Almeida","given":"Samuel","non-dropping-particle":"","parse-names":false,"suffix":""},{"dropping-particle":"","family":"Anderson","given":"Liana","non-dropping-particle":"","parse-names":false,"suffix":""},{"dropping-particle":"","family":"Brando","given":"Paulo","non-dropping-particle":"","parse-names":false,"suffix":""},{"dropping-particle":"","family":"Chambers","given":"Jeffrey Q.","non-dropping-particle":"","parse-names":false,"suffix":""},{"dropping-particle":"","family":"Costa","given":"Antonio C.L.","non-dropping-particle":"da","parse-names":false,"suffix":""},{"dropping-particle":"","family":"Hutyra","given":"Lucy R.","non-dropping-particle":"","parse-names":false,"suffix":""},{"dropping-particle":"","family":"Oliveira","given":"Paulo","non-dropping-particle":"","parse-names":false,"suffix":""},{"dropping-particle":"","family":"Patiño","given":"Sandra","non-dropping-particle":"","parse-names":false,"suffix":""},{"dropping-particle":"","family":"Pyle","given":"Elizabeth H.","non-dropping-particle":"","parse-names":false,"suffix":""},{"dropping-particle":"","family":"Robertson","given":"Amanda L.","non-dropping-particle":"","parse-names":false,"suffix":""},{"dropping-particle":"","family":"Teixeira","given":"Lilliane M.","non-dropping-particle":"","parse-names":false,"suffix":""}],"container-title":"Global Change Biology","id":"ITEM-1","issue":"5","issued":{"date-parts":[["2009"]]},"page":"1255-1274","title":"Comprehensive assessment of carbon productivity, allocation and storage in three Amazonian forests","type":"article-journal","volume":"15"},"uris":["http://www.mendeley.com/documents/?uuid=5de61e3e-26bf-40cf-accc-865f950db058"]}],"mendeley":{"formattedCitation":"[21]","plainTextFormattedCitation":"[21]","previouslyFormattedCitation":"[21]"},"properties":{"noteIndex":0},"schema":"https://github.com/citation-style-language/schema/raw/master/csl-citation.json"}</w:instrText>
      </w:r>
      <w:r w:rsidR="0007297E" w:rsidRPr="00993651">
        <w:rPr>
          <w:szCs w:val="24"/>
        </w:rPr>
        <w:fldChar w:fldCharType="separate"/>
      </w:r>
      <w:r w:rsidR="006015F6" w:rsidRPr="006015F6">
        <w:rPr>
          <w:noProof/>
          <w:szCs w:val="24"/>
        </w:rPr>
        <w:t>[21]</w:t>
      </w:r>
      <w:r w:rsidR="0007297E" w:rsidRPr="00993651">
        <w:rPr>
          <w:szCs w:val="24"/>
        </w:rPr>
        <w:fldChar w:fldCharType="end"/>
      </w:r>
      <w:r w:rsidR="0007297E" w:rsidRPr="00993651">
        <w:rPr>
          <w:szCs w:val="24"/>
        </w:rPr>
        <w:t xml:space="preserve">. The Manaus national forest site (MAN; 2°36’ S, 60°12’ W) has a mean annual precipitation of 2252 mm </w:t>
      </w:r>
      <w:r w:rsidR="0007297E" w:rsidRPr="00993651">
        <w:rPr>
          <w:szCs w:val="24"/>
        </w:rPr>
        <w:fldChar w:fldCharType="begin" w:fldLock="1"/>
      </w:r>
      <w:r w:rsidR="00BC06F6">
        <w:rPr>
          <w:szCs w:val="24"/>
        </w:rPr>
        <w:instrText>ADDIN CSL_CITATION {"citationItems":[{"id":"ITEM-1","itemData":{"DOI":"10.1029/2001JD000676","ISBN":"0747-7309","ISSN":"0148-0227","abstract":"[1] Forests around Manaus have staged the oldest and the longest forest-atmosphere CO 2 exchange studies made anywhere in the Amazon. Since July 1999 the exchange of CO 2 , water, and energy, as well as weather variables, have been measured almost continuously over two forests, 11 km apart, in the Cuieiras reserve near Manaus, Brazil. This paper presents the sites and climatology of the region based upon the new data sets. The landscape consists of plateaus dissected by often waterlogged valleys, and the two sites differ in terms of the relative areas of those two landscape components represented in the tower footprints. The radiation and wind climate was similar to both towers. Generally, both the long-wave and short-wave radiation input was less in the wet than in the dry season. The energy balance closure was imperfect (on average 80%) in both towers, with little variation in energy partitioning between the wet and dry seasons; likely a result of anomalously high rainfall in the 1999 dry season. Fluxes of CO 2 also showed little seasonal variation except for a slightly shorter daytime uptake duration and somewhat lower respiratory fluxes in the dry season. The net effect is one of lower daily net ecosystem exchange (NEE) in the dry season. The tower, which has less waterlogged valley areas in its footprint, measured a higher overall CO 2 uptake rate. We found that on first sight, NEE is underestimated during calm nights, as was observed in many other tower sites before. However, a closer inspection of the diurnal variation of CO 2 storage fluxes and NEE suggests that at least part of the nighttime deficits is recovered from either lateral influx of CO 2 from valleys or outgassing of soil storage. Therefore there is a high uncertainty in the magnitude of nocturnal NEE, and consequently preliminary estimates of annual carbon uptake reflecting this range from 1 to 8 T ha À1 y À1 , with an even higher upper range for the less waterlogged area. The high uptake rates are clearly unsustainable and call for further investigations into the integral carbon balance of Amazon landscapes. INDEX TERMS: 0322 Atmospheric Composition and Structure: Constituent sources and sinks; 0315 Atmospheric Composition and Structure: Biosphere/atmosphere interactions; 1615 Global Change: Biogeochemical processes (4805); KEYWORDS: tropical forest, eddy flux covariance, Amazon, flux, carbon dioxide, ecological differences Citation: Araújo, A. C., et al., Comparative measurements o…","author":[{"dropping-particle":"","family":"Araújo","given":"A. C.","non-dropping-particle":"","parse-names":false,"suffix":""}],"container-title":"Journal of Geophysical Research","id":"ITEM-1","issue":"D20","issued":{"date-parts":[["2002"]]},"page":"8090","title":"Comparative measurements of carbon dioxide fluxes from two nearby towers in a central Amazonian rainforest: The Manaus LBA site","type":"article-journal","volume":"107"},"uris":["http://www.mendeley.com/documents/?uuid=fa5e64ef-72cb-47df-ab32-0a2d1c2cc818"]}],"mendeley":{"formattedCitation":"[23]","plainTextFormattedCitation":"[23]","previouslyFormattedCitation":"[23]"},"properties":{"noteIndex":0},"schema":"https://github.com/citation-style-language/schema/raw/master/csl-citation.json"}</w:instrText>
      </w:r>
      <w:r w:rsidR="0007297E" w:rsidRPr="00993651">
        <w:rPr>
          <w:szCs w:val="24"/>
        </w:rPr>
        <w:fldChar w:fldCharType="separate"/>
      </w:r>
      <w:r w:rsidR="006015F6" w:rsidRPr="006015F6">
        <w:rPr>
          <w:noProof/>
          <w:szCs w:val="24"/>
        </w:rPr>
        <w:t>[23]</w:t>
      </w:r>
      <w:r w:rsidR="0007297E" w:rsidRPr="00993651">
        <w:rPr>
          <w:szCs w:val="24"/>
        </w:rPr>
        <w:fldChar w:fldCharType="end"/>
      </w:r>
      <w:r w:rsidR="0007297E" w:rsidRPr="00993651">
        <w:rPr>
          <w:szCs w:val="24"/>
        </w:rPr>
        <w:t xml:space="preserve"> and is located in a low plateau with clay-rich </w:t>
      </w:r>
      <w:proofErr w:type="spellStart"/>
      <w:r w:rsidR="0007297E" w:rsidRPr="00993651">
        <w:rPr>
          <w:szCs w:val="24"/>
        </w:rPr>
        <w:t>oxisols</w:t>
      </w:r>
      <w:proofErr w:type="spellEnd"/>
      <w:r w:rsidR="0007297E" w:rsidRPr="00993651">
        <w:rPr>
          <w:szCs w:val="24"/>
        </w:rPr>
        <w:t xml:space="preserve"> soil </w:t>
      </w:r>
      <w:r w:rsidR="0007297E" w:rsidRPr="00993651">
        <w:rPr>
          <w:szCs w:val="24"/>
        </w:rPr>
        <w:fldChar w:fldCharType="begin" w:fldLock="1"/>
      </w:r>
      <w:r w:rsidR="00BC06F6">
        <w:rPr>
          <w:szCs w:val="24"/>
        </w:rPr>
        <w:instrText>ADDIN CSL_CITATION {"citationItems":[{"id":"ITEM-1","itemData":{"DOI":"10.1111/j.1365-2486.2008.01780.x","ISBN":"1354-1013","ISSN":"13541013","abstract":"The allocation and cycling of carbon (C) within forests is an important component of the biospheric C cycle, but is particularly understudied within tropical forests. We synthesise reported and unpublished results from three lowland rainforest sites in Amazonia (in the regions of Manaus, Tapajo's and Caxiuana~), all major sites of the Large-Scale Biosphere- Atmosphere Programme (LBA). We attempt a comprehensive synthesis of the C stocks, nutrient status and, particularly, the allocation and internal C dynamics of all three sites. The calculated net primary productivities (NPP) are 10.1 1.4MgCha1 yr1 (Manaus), 14.4 1.3MgCha1 yr1 (Tapajo's) and 10.0 1.2MgCha1 yr1 (Caxiuana~). All errors bars report standard errors. Soil and leaf nutrient analyses indicate that Tapajo's has significantly more plant-available phosphorus and calcium. Autotrophic respiration at all three sites (14.9-21.4MgCha yr1) is more challenging to measure, with the largest component and greatest source of uncertainty being leaf dark respiration. Comparison of measured soil respiration with that predicted from C cycling measurements provides an independent constraint. It shows general good agreement at all three sites, with perhaps some evidence for measured soil respiration being less than expected. Twenty to thirty percent of fixed C is allocated belowground. Comparison of gross primary productivity (GPP), derived from ecosystem flux measurements with that derived from component studies (NPP plus autotrophic respiration) provides an additional crosscheck. The two approaches are in good agreement, giving increased confidence in both approaches to estimating GPP. The ecosystem carbon-use efficiency (CUEs), the ratio of NPP to GPP, is similar at Manaus (0.34 0.10) and Caxiuana~ (0.32 0.07), butmay be higher at Tapajo's (0.49 0.16), although the difference is not significant. Old growth or infertile tropical forests may have low CUE compared with recently disturbed and/or fertile forests","author":[{"dropping-particle":"","family":"Malhi","given":"Yadvinder","non-dropping-particle":"","parse-names":false,"suffix":""},{"dropping-particle":"","family":"Aragão","given":"Luiz Eduardo O.C.","non-dropping-particle":"","parse-names":false,"suffix":""},{"dropping-particle":"","family":"Metcalfe","given":"Daniel B.","non-dropping-particle":"","parse-names":false,"suffix":""},{"dropping-particle":"","family":"Paiva","given":"Romilda","non-dropping-particle":"","parse-names":false,"suffix":""},{"dropping-particle":"","family":"Quesada","given":"Carlos A.","non-dropping-particle":"","parse-names":false,"suffix":""},{"dropping-particle":"","family":"Almeida","given":"Samuel","non-dropping-particle":"","parse-names":false,"suffix":""},{"dropping-particle":"","family":"Anderson","given":"Liana","non-dropping-particle":"","parse-names":false,"suffix":""},{"dropping-particle":"","family":"Brando","given":"Paulo","non-dropping-particle":"","parse-names":false,"suffix":""},{"dropping-particle":"","family":"Chambers","given":"Jeffrey Q.","non-dropping-particle":"","parse-names":false,"suffix":""},{"dropping-particle":"","family":"Costa","given":"Antonio C.L.","non-dropping-particle":"da","parse-names":false,"suffix":""},{"dropping-particle":"","family":"Hutyra","given":"Lucy R.","non-dropping-particle":"","parse-names":false,"suffix":""},{"dropping-particle":"","family":"Oliveira","given":"Paulo","non-dropping-particle":"","parse-names":false,"suffix":""},{"dropping-particle":"","family":"Patiño","given":"Sandra","non-dropping-particle":"","parse-names":false,"suffix":""},{"dropping-particle":"","family":"Pyle","given":"Elizabeth H.","non-dropping-particle":"","parse-names":false,"suffix":""},{"dropping-particle":"","family":"Robertson","given":"Amanda L.","non-dropping-particle":"","parse-names":false,"suffix":""},{"dropping-particle":"","family":"Teixeira","given":"Lilliane M.","non-dropping-particle":"","parse-names":false,"suffix":""}],"container-title":"Global Change Biology","id":"ITEM-1","issue":"5","issued":{"date-parts":[["2009"]]},"page":"1255-1274","title":"Comprehensive assessment of carbon productivity, allocation and storage in three Amazonian forests","type":"article-journal","volume":"15"},"uris":["http://www.mendeley.com/documents/?uuid=5de61e3e-26bf-40cf-accc-865f950db058"]}],"mendeley":{"formattedCitation":"[21]","plainTextFormattedCitation":"[21]","previouslyFormattedCitation":"[21]"},"properties":{"noteIndex":0},"schema":"https://github.com/citation-style-language/schema/raw/master/csl-citation.json"}</w:instrText>
      </w:r>
      <w:r w:rsidR="0007297E" w:rsidRPr="00993651">
        <w:rPr>
          <w:szCs w:val="24"/>
        </w:rPr>
        <w:fldChar w:fldCharType="separate"/>
      </w:r>
      <w:r w:rsidR="006015F6" w:rsidRPr="006015F6">
        <w:rPr>
          <w:noProof/>
          <w:szCs w:val="24"/>
        </w:rPr>
        <w:t>[21]</w:t>
      </w:r>
      <w:r w:rsidR="0007297E" w:rsidRPr="00993651">
        <w:rPr>
          <w:szCs w:val="24"/>
        </w:rPr>
        <w:fldChar w:fldCharType="end"/>
      </w:r>
      <w:r w:rsidR="004474AD">
        <w:rPr>
          <w:szCs w:val="24"/>
        </w:rPr>
        <w:t>.</w:t>
      </w:r>
      <w:r w:rsidR="0007297E" w:rsidRPr="00993651">
        <w:rPr>
          <w:b/>
          <w:szCs w:val="24"/>
        </w:rPr>
        <w:t xml:space="preserve"> </w:t>
      </w:r>
      <w:r w:rsidR="0007297E" w:rsidRPr="00993651">
        <w:rPr>
          <w:szCs w:val="24"/>
        </w:rPr>
        <w:t xml:space="preserve">The panels </w:t>
      </w:r>
      <w:r w:rsidR="004474AD">
        <w:rPr>
          <w:szCs w:val="24"/>
        </w:rPr>
        <w:t xml:space="preserve">below </w:t>
      </w:r>
      <w:r w:rsidR="0007297E" w:rsidRPr="00993651">
        <w:rPr>
          <w:szCs w:val="24"/>
        </w:rPr>
        <w:t xml:space="preserve">indicate the </w:t>
      </w:r>
      <w:r w:rsidR="0007297E" w:rsidRPr="00993651">
        <w:rPr>
          <w:bCs/>
          <w:szCs w:val="24"/>
        </w:rPr>
        <w:t xml:space="preserve">effect of sea surface temperature </w:t>
      </w:r>
      <w:r w:rsidR="0059734D">
        <w:rPr>
          <w:bCs/>
          <w:szCs w:val="24"/>
        </w:rPr>
        <w:t xml:space="preserve">(SST) </w:t>
      </w:r>
      <w:r w:rsidR="0007297E" w:rsidRPr="00993651">
        <w:rPr>
          <w:bCs/>
          <w:szCs w:val="24"/>
        </w:rPr>
        <w:t>anomalies at the Niño</w:t>
      </w:r>
      <w:r w:rsidR="0007297E" w:rsidRPr="00FC3E0A">
        <w:rPr>
          <w:bCs/>
          <w:szCs w:val="24"/>
        </w:rPr>
        <w:t xml:space="preserve"> 3 index location (</w:t>
      </w:r>
      <w:r w:rsidR="0007297E" w:rsidRPr="00FC3E0A">
        <w:rPr>
          <w:szCs w:val="24"/>
        </w:rPr>
        <w:t>5°N to 5°S and 150-90°W</w:t>
      </w:r>
      <w:r w:rsidR="0007297E" w:rsidRPr="00FC3E0A">
        <w:rPr>
          <w:bCs/>
          <w:szCs w:val="24"/>
        </w:rPr>
        <w:t>) on the</w:t>
      </w:r>
      <w:r w:rsidR="004474AD">
        <w:rPr>
          <w:bCs/>
          <w:szCs w:val="24"/>
        </w:rPr>
        <w:t xml:space="preserve"> </w:t>
      </w:r>
      <w:r w:rsidR="0007297E" w:rsidRPr="00FC3E0A">
        <w:rPr>
          <w:bCs/>
          <w:szCs w:val="24"/>
        </w:rPr>
        <w:t xml:space="preserve">maximum </w:t>
      </w:r>
      <w:r w:rsidR="001E752F">
        <w:rPr>
          <w:bCs/>
          <w:szCs w:val="24"/>
        </w:rPr>
        <w:t>annual</w:t>
      </w:r>
      <w:r w:rsidR="004474AD">
        <w:rPr>
          <w:bCs/>
          <w:szCs w:val="24"/>
        </w:rPr>
        <w:t xml:space="preserve"> air temperature (T</w:t>
      </w:r>
      <w:r w:rsidR="004474AD" w:rsidRPr="004244FF">
        <w:rPr>
          <w:bCs/>
          <w:szCs w:val="24"/>
          <w:vertAlign w:val="subscript"/>
        </w:rPr>
        <w:t>a</w:t>
      </w:r>
      <w:r w:rsidR="004474AD">
        <w:rPr>
          <w:bCs/>
          <w:szCs w:val="24"/>
        </w:rPr>
        <w:t xml:space="preserve">), </w:t>
      </w:r>
      <w:r w:rsidR="0007297E" w:rsidRPr="00FC3E0A">
        <w:rPr>
          <w:bCs/>
          <w:szCs w:val="24"/>
        </w:rPr>
        <w:t>vapour pressure deficit (</w:t>
      </w:r>
      <w:r w:rsidR="0007297E" w:rsidRPr="00FC3E0A">
        <w:rPr>
          <w:bCs/>
          <w:i/>
          <w:szCs w:val="24"/>
        </w:rPr>
        <w:t>D</w:t>
      </w:r>
      <w:r w:rsidR="0007297E" w:rsidRPr="00FC3E0A">
        <w:rPr>
          <w:bCs/>
          <w:szCs w:val="24"/>
        </w:rPr>
        <w:t xml:space="preserve">) </w:t>
      </w:r>
      <w:r w:rsidR="004474AD">
        <w:rPr>
          <w:bCs/>
          <w:szCs w:val="24"/>
        </w:rPr>
        <w:t xml:space="preserve">and </w:t>
      </w:r>
      <w:r w:rsidR="004474AD" w:rsidRPr="00FC3E0A">
        <w:rPr>
          <w:bCs/>
          <w:szCs w:val="24"/>
        </w:rPr>
        <w:t xml:space="preserve">minimum </w:t>
      </w:r>
      <w:r w:rsidR="001E752F">
        <w:rPr>
          <w:bCs/>
          <w:szCs w:val="24"/>
        </w:rPr>
        <w:t>annual</w:t>
      </w:r>
      <w:r w:rsidR="004474AD" w:rsidRPr="00FC3E0A">
        <w:rPr>
          <w:bCs/>
          <w:szCs w:val="24"/>
        </w:rPr>
        <w:t xml:space="preserve"> soil water potential (</w:t>
      </w:r>
      <w:r w:rsidR="004474AD" w:rsidRPr="00FC3E0A">
        <w:rPr>
          <w:bCs/>
          <w:i/>
          <w:szCs w:val="24"/>
        </w:rPr>
        <w:t>P</w:t>
      </w:r>
      <w:r w:rsidR="004474AD" w:rsidRPr="00FC3E0A">
        <w:rPr>
          <w:bCs/>
          <w:i/>
          <w:szCs w:val="24"/>
          <w:vertAlign w:val="subscript"/>
        </w:rPr>
        <w:t>s</w:t>
      </w:r>
      <w:r w:rsidR="004474AD" w:rsidRPr="00FC3E0A">
        <w:rPr>
          <w:bCs/>
          <w:szCs w:val="24"/>
        </w:rPr>
        <w:t>)</w:t>
      </w:r>
      <w:r w:rsidR="004474AD">
        <w:rPr>
          <w:bCs/>
          <w:szCs w:val="24"/>
        </w:rPr>
        <w:t xml:space="preserve"> </w:t>
      </w:r>
      <w:r w:rsidR="0007297E" w:rsidRPr="00FC3E0A">
        <w:rPr>
          <w:bCs/>
          <w:szCs w:val="24"/>
        </w:rPr>
        <w:t xml:space="preserve">at each site. </w:t>
      </w:r>
      <w:r w:rsidR="004474AD">
        <w:rPr>
          <w:bCs/>
          <w:szCs w:val="24"/>
        </w:rPr>
        <w:t xml:space="preserve">The meteorological data is from the </w:t>
      </w:r>
      <w:r w:rsidR="00EA5FD0" w:rsidRPr="004C263C">
        <w:rPr>
          <w:szCs w:val="24"/>
        </w:rPr>
        <w:t>CRU-NCEP dataset</w:t>
      </w:r>
      <w:r w:rsidR="00EA5FD0">
        <w:rPr>
          <w:szCs w:val="24"/>
        </w:rPr>
        <w:t>, see text for details.</w:t>
      </w:r>
      <w:r w:rsidR="00DB62A6">
        <w:rPr>
          <w:szCs w:val="24"/>
        </w:rPr>
        <w:t xml:space="preserve"> Note the </w:t>
      </w:r>
      <w:r w:rsidR="00FE2FE7">
        <w:rPr>
          <w:szCs w:val="24"/>
        </w:rPr>
        <w:t>differen</w:t>
      </w:r>
      <w:r w:rsidR="00FB696C">
        <w:rPr>
          <w:szCs w:val="24"/>
        </w:rPr>
        <w:t>t</w:t>
      </w:r>
      <w:r w:rsidR="00FE2FE7">
        <w:rPr>
          <w:szCs w:val="24"/>
        </w:rPr>
        <w:t xml:space="preserve"> y-axis scale on </w:t>
      </w:r>
      <w:r w:rsidR="00E82EE4">
        <w:rPr>
          <w:szCs w:val="24"/>
        </w:rPr>
        <w:t xml:space="preserve">panels </w:t>
      </w:r>
      <w:r w:rsidR="00E82EE4" w:rsidRPr="00E82EE4">
        <w:rPr>
          <w:i/>
          <w:szCs w:val="24"/>
        </w:rPr>
        <w:t>c</w:t>
      </w:r>
      <w:r w:rsidR="00E82EE4">
        <w:rPr>
          <w:szCs w:val="24"/>
        </w:rPr>
        <w:t xml:space="preserve">, </w:t>
      </w:r>
      <w:r w:rsidR="00E82EE4" w:rsidRPr="00E82EE4">
        <w:rPr>
          <w:i/>
          <w:szCs w:val="24"/>
        </w:rPr>
        <w:t>f</w:t>
      </w:r>
      <w:r w:rsidR="00E82EE4">
        <w:rPr>
          <w:szCs w:val="24"/>
        </w:rPr>
        <w:t xml:space="preserve"> and </w:t>
      </w:r>
      <w:proofErr w:type="spellStart"/>
      <w:r w:rsidR="00E82EE4" w:rsidRPr="00E82EE4">
        <w:rPr>
          <w:i/>
          <w:szCs w:val="24"/>
        </w:rPr>
        <w:t>i</w:t>
      </w:r>
      <w:proofErr w:type="spellEnd"/>
      <w:r w:rsidR="00E82EE4">
        <w:rPr>
          <w:szCs w:val="24"/>
        </w:rPr>
        <w:t>.</w:t>
      </w:r>
      <w:r w:rsidR="00DB62A6">
        <w:rPr>
          <w:szCs w:val="24"/>
        </w:rPr>
        <w:t xml:space="preserve"> </w:t>
      </w:r>
    </w:p>
    <w:p w14:paraId="3D064F46" w14:textId="77777777" w:rsidR="00E36170" w:rsidRPr="00220BAB" w:rsidRDefault="00E36170" w:rsidP="00E36170">
      <w:pPr>
        <w:spacing w:line="360" w:lineRule="auto"/>
        <w:jc w:val="both"/>
        <w:rPr>
          <w:b/>
          <w:szCs w:val="24"/>
        </w:rPr>
      </w:pPr>
      <w:r>
        <w:rPr>
          <w:b/>
          <w:noProof/>
          <w:szCs w:val="24"/>
        </w:rPr>
        <w:lastRenderedPageBreak/>
        <w:drawing>
          <wp:inline distT="0" distB="0" distL="0" distR="0" wp14:anchorId="699DEEF3" wp14:editId="22C2F0F6">
            <wp:extent cx="6012815" cy="486727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2.tif"/>
                    <pic:cNvPicPr/>
                  </pic:nvPicPr>
                  <pic:blipFill rotWithShape="1">
                    <a:blip r:embed="rId11" cstate="print">
                      <a:extLst>
                        <a:ext uri="{28A0092B-C50C-407E-A947-70E740481C1C}">
                          <a14:useLocalDpi xmlns:a14="http://schemas.microsoft.com/office/drawing/2010/main" val="0"/>
                        </a:ext>
                      </a:extLst>
                    </a:blip>
                    <a:srcRect t="7942" b="5712"/>
                    <a:stretch/>
                  </pic:blipFill>
                  <pic:spPr bwMode="auto">
                    <a:xfrm>
                      <a:off x="0" y="0"/>
                      <a:ext cx="6012815" cy="4867275"/>
                    </a:xfrm>
                    <a:prstGeom prst="rect">
                      <a:avLst/>
                    </a:prstGeom>
                    <a:ln>
                      <a:noFill/>
                    </a:ln>
                    <a:extLst>
                      <a:ext uri="{53640926-AAD7-44D8-BBD7-CCE9431645EC}">
                        <a14:shadowObscured xmlns:a14="http://schemas.microsoft.com/office/drawing/2010/main"/>
                      </a:ext>
                    </a:extLst>
                  </pic:spPr>
                </pic:pic>
              </a:graphicData>
            </a:graphic>
          </wp:inline>
        </w:drawing>
      </w:r>
    </w:p>
    <w:p w14:paraId="361BF54A" w14:textId="461DD3AD" w:rsidR="00E36170" w:rsidRPr="00220BAB" w:rsidRDefault="00E36170" w:rsidP="00E36170">
      <w:pPr>
        <w:spacing w:line="360" w:lineRule="auto"/>
        <w:jc w:val="both"/>
        <w:rPr>
          <w:b/>
          <w:szCs w:val="24"/>
        </w:rPr>
      </w:pPr>
      <w:r w:rsidRPr="00220BAB">
        <w:rPr>
          <w:b/>
          <w:szCs w:val="24"/>
        </w:rPr>
        <w:t>Figure S</w:t>
      </w:r>
      <w:r w:rsidR="00A63A19">
        <w:rPr>
          <w:b/>
          <w:szCs w:val="24"/>
        </w:rPr>
        <w:t>4</w:t>
      </w:r>
      <w:r w:rsidRPr="00220BAB">
        <w:rPr>
          <w:b/>
          <w:szCs w:val="24"/>
        </w:rPr>
        <w:t>.</w:t>
      </w:r>
      <w:r w:rsidR="00EA5FD0">
        <w:rPr>
          <w:b/>
          <w:szCs w:val="24"/>
        </w:rPr>
        <w:t xml:space="preserve"> </w:t>
      </w:r>
      <w:r w:rsidR="00EA5FD0" w:rsidRPr="004244FF">
        <w:rPr>
          <w:szCs w:val="24"/>
        </w:rPr>
        <w:t xml:space="preserve">Description of the </w:t>
      </w:r>
      <w:r w:rsidR="00D7422C" w:rsidRPr="004244FF">
        <w:rPr>
          <w:szCs w:val="24"/>
        </w:rPr>
        <w:t xml:space="preserve">β-function model used in the study. </w:t>
      </w:r>
      <w:r w:rsidR="006B2E23">
        <w:rPr>
          <w:szCs w:val="24"/>
        </w:rPr>
        <w:t xml:space="preserve">This model uses the equation from Jacobs </w:t>
      </w:r>
      <w:r w:rsidR="00FA51AF">
        <w:rPr>
          <w:szCs w:val="24"/>
        </w:rPr>
        <w:fldChar w:fldCharType="begin" w:fldLock="1"/>
      </w:r>
      <w:r w:rsidR="00BC06F6">
        <w:rPr>
          <w:szCs w:val="24"/>
        </w:rPr>
        <w:instrText>ADDIN CSL_CITATION {"citationItems":[{"id":"ITEM-1","itemData":{"author":[{"dropping-particle":"","family":"Jacobs","given":"C","non-dropping-particle":"","parse-names":false,"suffix":""}],"id":"ITEM-1","issued":{"date-parts":[["1994"]]},"publisher-place":"Wageningen Agricultural University","title":"Direct impact of atmospheric CO2 enrichment on regional transpiration","type":"thesis"},"uris":["http://www.mendeley.com/documents/?uuid=7540b138-855f-4f11-aabd-bead6452cdd6"]}],"mendeley":{"formattedCitation":"[24]","plainTextFormattedCitation":"[24]","previouslyFormattedCitation":"[24]"},"properties":{"noteIndex":0},"schema":"https://github.com/citation-style-language/schema/raw/master/csl-citation.json"}</w:instrText>
      </w:r>
      <w:r w:rsidR="00FA51AF">
        <w:rPr>
          <w:szCs w:val="24"/>
        </w:rPr>
        <w:fldChar w:fldCharType="separate"/>
      </w:r>
      <w:r w:rsidR="006015F6" w:rsidRPr="006015F6">
        <w:rPr>
          <w:noProof/>
          <w:szCs w:val="24"/>
        </w:rPr>
        <w:t>[24]</w:t>
      </w:r>
      <w:r w:rsidR="00FA51AF">
        <w:rPr>
          <w:szCs w:val="24"/>
        </w:rPr>
        <w:fldChar w:fldCharType="end"/>
      </w:r>
      <w:r w:rsidR="00FA51AF">
        <w:rPr>
          <w:szCs w:val="24"/>
        </w:rPr>
        <w:t xml:space="preserve"> to </w:t>
      </w:r>
      <w:r w:rsidR="003F6CEE">
        <w:rPr>
          <w:szCs w:val="24"/>
        </w:rPr>
        <w:t>compute the leaf internal CO</w:t>
      </w:r>
      <w:r w:rsidR="003F6CEE" w:rsidRPr="00CA402C">
        <w:rPr>
          <w:szCs w:val="24"/>
          <w:vertAlign w:val="subscript"/>
        </w:rPr>
        <w:t>2</w:t>
      </w:r>
      <w:r w:rsidR="003F6CEE">
        <w:rPr>
          <w:szCs w:val="24"/>
        </w:rPr>
        <w:t xml:space="preserve"> concentration (</w:t>
      </w:r>
      <w:r w:rsidR="003F6CEE" w:rsidRPr="004244FF">
        <w:rPr>
          <w:i/>
          <w:szCs w:val="24"/>
        </w:rPr>
        <w:t>c</w:t>
      </w:r>
      <w:r w:rsidR="003F6CEE" w:rsidRPr="004244FF">
        <w:rPr>
          <w:i/>
          <w:szCs w:val="24"/>
          <w:vertAlign w:val="subscript"/>
        </w:rPr>
        <w:t>i</w:t>
      </w:r>
      <w:r w:rsidR="003F6CEE">
        <w:rPr>
          <w:szCs w:val="24"/>
        </w:rPr>
        <w:t xml:space="preserve">) used in the </w:t>
      </w:r>
      <w:proofErr w:type="spellStart"/>
      <w:r w:rsidR="003F6CEE">
        <w:rPr>
          <w:szCs w:val="24"/>
        </w:rPr>
        <w:t>Collatz</w:t>
      </w:r>
      <w:proofErr w:type="spellEnd"/>
      <w:r w:rsidR="003F6CEE">
        <w:rPr>
          <w:szCs w:val="24"/>
        </w:rPr>
        <w:t xml:space="preserve"> </w:t>
      </w:r>
      <w:r w:rsidR="003F6CEE" w:rsidRPr="00C25453">
        <w:rPr>
          <w:i/>
          <w:szCs w:val="24"/>
        </w:rPr>
        <w:t>et al</w:t>
      </w:r>
      <w:r w:rsidR="00C25453" w:rsidRPr="00C25453">
        <w:rPr>
          <w:i/>
          <w:szCs w:val="24"/>
        </w:rPr>
        <w:t>.</w:t>
      </w:r>
      <w:r w:rsidR="003F6CEE">
        <w:rPr>
          <w:szCs w:val="24"/>
        </w:rPr>
        <w:t xml:space="preserve"> </w:t>
      </w:r>
      <w:r w:rsidR="003F6CEE">
        <w:rPr>
          <w:szCs w:val="24"/>
        </w:rPr>
        <w:fldChar w:fldCharType="begin" w:fldLock="1"/>
      </w:r>
      <w:r w:rsidR="004B60FA">
        <w:rPr>
          <w:szCs w:val="24"/>
        </w:rPr>
        <w:instrText>ADDIN CSL_CITATION {"citationItems":[{"id":"ITEM-1","itemData":{"DOI":"10.1016/0168-1923(91)90002-8","ISBN":"0168-1923","ISSN":"01681923","PMID":"10938857","abstract":"This paper presents a system of models for the simulation of gas and energy exchange of a leaf of a C3 plant in free air. The physiological processes are simulated by sub-models that: (a) give net photosynthesis (An) as a function of environmental and leaf parameters and stomatal conductance (gs); (b) give g, as a function of the concentration of CO2 and H2O in air at the leaf surface and the current rate of photosynthesis of the leaf. An energy balance and mass transport sub-model is used to couple the physiological processes through a variable boundary layer to the ambient environment. The models are based on theoretical and empirical analysis of gs, and An measured at the leaf level, and tests with intact attached leaves of soybeans show very good agreement between predicted and measured responses of gs and An over a wide range of leaf temperatures (20-35°C), CO2 concentrations (10-90 Pa), air to leaf water vapor deficits (0.5-3.7 kPa) and light intensities (100-2000 μmol m-2s-1). The combined models were used to simulate the responses of latent heat flux (λE) and gs for a soybean canopy for the course of an idealized summer day, using the 'big-leaf' approximation. Appropriate data are not yet available to provide a rigorous test of these simulations, but the response patterns are similar to field observations. These simulations show a pronounced midday depression of λE and gs at low or high values of boundary-layer conductance. Deterioration of plant water relations during midday has often been invoked to explain this common natural phenomenon, but the present models do not consider this possibility. Analysis of the model indicates that the simulated midday depression is, in part, the result of positive feedback mediated by the boundary layer. For example, a change in gs affects An and λE. As a consequence, the temperature, humidity and CO2 concentration of the air in the proximity of the stomata (e.g. the air at the leaf surface) change and these, in turn, affect gs. The simulations illustrate the possible significance of the boundary layer in mediating feedback loops which affect the regulation of stomatal conductance and λE. The simulations also examine the significance of changing the response properties of the photosynthetic component of the model by changing leaf protein content or the CO2 concentration of the atmosphere. © 1991.","author":[{"dropping-particle":"","family":"Collatz","given":"G. James","non-dropping-particle":"","parse-names":false,"suffix":""},{"dropping-particle":"","family":"Ball","given":"J. Timothy","non-dropping-particle":"","parse-names":false,"suffix":""},{"dropping-particle":"","family":"Grivet","given":"Cyril","non-dropping-particle":"","parse-names":false,"suffix":""},{"dropping-particle":"","family":"Berry","given":"Joseph A.","non-dropping-particle":"","parse-names":false,"suffix":""}],"container-title":"Agricultural and Forest Meteorology","id":"ITEM-1","issue":"2-4","issued":{"date-parts":[["1991"]]},"page":"107-136","title":"Physiological and environmental regulation of stomatal conductance, photosynthesis and transpiration: a model that includes a laminar boundary layer","type":"article-journal","volume":"54"},"uris":["http://www.mendeley.com/documents/?uuid=e8ce27b3-253e-4bf1-b996-8488f76380ec"]}],"mendeley":{"formattedCitation":"[1]","plainTextFormattedCitation":"[1]","previouslyFormattedCitation":"[1]"},"properties":{"noteIndex":0},"schema":"https://github.com/citation-style-language/schema/raw/master/csl-citation.json"}</w:instrText>
      </w:r>
      <w:r w:rsidR="003F6CEE">
        <w:rPr>
          <w:szCs w:val="24"/>
        </w:rPr>
        <w:fldChar w:fldCharType="separate"/>
      </w:r>
      <w:r w:rsidR="003F6CEE" w:rsidRPr="003F6CEE">
        <w:rPr>
          <w:noProof/>
          <w:szCs w:val="24"/>
        </w:rPr>
        <w:t>[1]</w:t>
      </w:r>
      <w:r w:rsidR="003F6CEE">
        <w:rPr>
          <w:szCs w:val="24"/>
        </w:rPr>
        <w:fldChar w:fldCharType="end"/>
      </w:r>
      <w:r w:rsidR="003F6CEE">
        <w:rPr>
          <w:szCs w:val="24"/>
        </w:rPr>
        <w:t xml:space="preserve"> photosynthesis model </w:t>
      </w:r>
      <w:r w:rsidR="00A80A88">
        <w:rPr>
          <w:szCs w:val="24"/>
        </w:rPr>
        <w:t xml:space="preserve">described in </w:t>
      </w:r>
      <w:r w:rsidR="004564A4">
        <w:rPr>
          <w:szCs w:val="24"/>
        </w:rPr>
        <w:t>A</w:t>
      </w:r>
      <w:r w:rsidR="00A80A88">
        <w:rPr>
          <w:szCs w:val="24"/>
        </w:rPr>
        <w:t>ppendix S1. Th</w:t>
      </w:r>
      <w:r w:rsidR="00176A7E">
        <w:rPr>
          <w:szCs w:val="24"/>
        </w:rPr>
        <w:t xml:space="preserve">e carbon assimilation value </w:t>
      </w:r>
      <w:r w:rsidR="004A4D04">
        <w:rPr>
          <w:szCs w:val="24"/>
        </w:rPr>
        <w:t>(</w:t>
      </w:r>
      <w:r w:rsidR="004A4D04" w:rsidRPr="004244FF">
        <w:rPr>
          <w:i/>
          <w:szCs w:val="24"/>
        </w:rPr>
        <w:t>A</w:t>
      </w:r>
      <w:r w:rsidR="004A4D04">
        <w:rPr>
          <w:szCs w:val="24"/>
        </w:rPr>
        <w:t xml:space="preserve">) </w:t>
      </w:r>
      <w:r w:rsidR="00176A7E">
        <w:rPr>
          <w:szCs w:val="24"/>
        </w:rPr>
        <w:t xml:space="preserve">produced by the photosynthesis model is modified by </w:t>
      </w:r>
      <w:r w:rsidR="005018A6">
        <w:rPr>
          <w:szCs w:val="24"/>
        </w:rPr>
        <w:t>the</w:t>
      </w:r>
      <w:r w:rsidR="004A4D04">
        <w:rPr>
          <w:szCs w:val="24"/>
        </w:rPr>
        <w:t xml:space="preserve"> unitless</w:t>
      </w:r>
      <w:r w:rsidR="00176A7E">
        <w:rPr>
          <w:szCs w:val="24"/>
        </w:rPr>
        <w:t xml:space="preserve"> drought factor</w:t>
      </w:r>
      <w:r w:rsidR="005018A6">
        <w:rPr>
          <w:szCs w:val="24"/>
        </w:rPr>
        <w:t xml:space="preserve"> β, which is </w:t>
      </w:r>
      <w:r w:rsidR="004A4D04">
        <w:rPr>
          <w:szCs w:val="24"/>
        </w:rPr>
        <w:t>computed as a</w:t>
      </w:r>
      <w:r w:rsidR="005018A6">
        <w:rPr>
          <w:szCs w:val="24"/>
        </w:rPr>
        <w:t xml:space="preserve"> function from soil moisture content (θ) and two parameters </w:t>
      </w:r>
      <w:r w:rsidR="00C25453">
        <w:rPr>
          <w:szCs w:val="24"/>
        </w:rPr>
        <w:t xml:space="preserve">the critical </w:t>
      </w:r>
      <w:r w:rsidR="0096025D">
        <w:rPr>
          <w:szCs w:val="24"/>
        </w:rPr>
        <w:t>(</w:t>
      </w:r>
      <w:proofErr w:type="spellStart"/>
      <w:r w:rsidR="0096025D" w:rsidRPr="00683088">
        <w:rPr>
          <w:szCs w:val="24"/>
        </w:rPr>
        <w:t>θ</w:t>
      </w:r>
      <w:r w:rsidR="0096025D" w:rsidRPr="00683088">
        <w:rPr>
          <w:szCs w:val="24"/>
          <w:vertAlign w:val="subscript"/>
        </w:rPr>
        <w:t>c</w:t>
      </w:r>
      <w:proofErr w:type="spellEnd"/>
      <w:r w:rsidR="00C25453">
        <w:rPr>
          <w:szCs w:val="24"/>
        </w:rPr>
        <w:t xml:space="preserve">) </w:t>
      </w:r>
      <w:r w:rsidR="0096025D" w:rsidRPr="00683088">
        <w:rPr>
          <w:szCs w:val="24"/>
        </w:rPr>
        <w:t xml:space="preserve">and </w:t>
      </w:r>
      <w:r w:rsidR="00C25453">
        <w:rPr>
          <w:szCs w:val="24"/>
        </w:rPr>
        <w:t>wilting (</w:t>
      </w:r>
      <w:proofErr w:type="spellStart"/>
      <w:r w:rsidR="0096025D" w:rsidRPr="00683088">
        <w:rPr>
          <w:szCs w:val="24"/>
        </w:rPr>
        <w:t>θ</w:t>
      </w:r>
      <w:r w:rsidR="0096025D" w:rsidRPr="00683088">
        <w:rPr>
          <w:szCs w:val="24"/>
          <w:vertAlign w:val="subscript"/>
        </w:rPr>
        <w:t>w</w:t>
      </w:r>
      <w:proofErr w:type="spellEnd"/>
      <w:r w:rsidR="0096025D">
        <w:rPr>
          <w:szCs w:val="24"/>
        </w:rPr>
        <w:t>)</w:t>
      </w:r>
      <w:r w:rsidR="00C25453">
        <w:rPr>
          <w:szCs w:val="24"/>
        </w:rPr>
        <w:t xml:space="preserve"> points.</w:t>
      </w:r>
      <w:r w:rsidR="004A4D04">
        <w:rPr>
          <w:szCs w:val="24"/>
        </w:rPr>
        <w:t xml:space="preserve"> </w:t>
      </w:r>
      <w:r w:rsidR="006777EB">
        <w:rPr>
          <w:szCs w:val="24"/>
        </w:rPr>
        <w:t xml:space="preserve"> </w:t>
      </w:r>
      <w:r w:rsidR="0096025D">
        <w:rPr>
          <w:szCs w:val="24"/>
        </w:rPr>
        <w:t>The</w:t>
      </w:r>
      <w:r w:rsidR="0096025D" w:rsidRPr="00683088">
        <w:rPr>
          <w:szCs w:val="24"/>
        </w:rPr>
        <w:t xml:space="preserve"> </w:t>
      </w:r>
      <w:proofErr w:type="spellStart"/>
      <w:r w:rsidR="0096025D" w:rsidRPr="00683088">
        <w:rPr>
          <w:szCs w:val="24"/>
        </w:rPr>
        <w:t>θ</w:t>
      </w:r>
      <w:r w:rsidR="0096025D" w:rsidRPr="00683088">
        <w:rPr>
          <w:szCs w:val="24"/>
          <w:vertAlign w:val="subscript"/>
        </w:rPr>
        <w:t>c</w:t>
      </w:r>
      <w:proofErr w:type="spellEnd"/>
      <w:r w:rsidR="0096025D" w:rsidRPr="00683088">
        <w:rPr>
          <w:szCs w:val="24"/>
        </w:rPr>
        <w:t xml:space="preserve"> and </w:t>
      </w:r>
      <w:proofErr w:type="spellStart"/>
      <w:r w:rsidR="0096025D" w:rsidRPr="00683088">
        <w:rPr>
          <w:szCs w:val="24"/>
        </w:rPr>
        <w:t>θ</w:t>
      </w:r>
      <w:r w:rsidR="0096025D" w:rsidRPr="00683088">
        <w:rPr>
          <w:szCs w:val="24"/>
          <w:vertAlign w:val="subscript"/>
        </w:rPr>
        <w:t>w</w:t>
      </w:r>
      <w:proofErr w:type="spellEnd"/>
      <w:r w:rsidR="0096025D" w:rsidRPr="00683088">
        <w:rPr>
          <w:szCs w:val="24"/>
        </w:rPr>
        <w:t xml:space="preserve"> represent the θ when </w:t>
      </w:r>
      <w:r w:rsidR="0096025D" w:rsidRPr="00683088">
        <w:rPr>
          <w:i/>
          <w:iCs/>
          <w:szCs w:val="24"/>
        </w:rPr>
        <w:t>A</w:t>
      </w:r>
      <w:r w:rsidR="0096025D" w:rsidRPr="00683088">
        <w:rPr>
          <w:szCs w:val="24"/>
        </w:rPr>
        <w:t xml:space="preserve"> first falls below its unstressed value (i.e. the </w:t>
      </w:r>
      <w:r w:rsidR="0096025D" w:rsidRPr="00683088">
        <w:rPr>
          <w:i/>
          <w:iCs/>
          <w:szCs w:val="24"/>
        </w:rPr>
        <w:t>A</w:t>
      </w:r>
      <w:r w:rsidR="0096025D" w:rsidRPr="00683088">
        <w:rPr>
          <w:szCs w:val="24"/>
        </w:rPr>
        <w:t xml:space="preserve"> produced by the </w:t>
      </w:r>
      <w:proofErr w:type="spellStart"/>
      <w:r w:rsidR="0096025D" w:rsidRPr="00683088">
        <w:rPr>
          <w:szCs w:val="24"/>
        </w:rPr>
        <w:t>Collatz</w:t>
      </w:r>
      <w:proofErr w:type="spellEnd"/>
      <w:r w:rsidR="0096025D" w:rsidRPr="00683088">
        <w:rPr>
          <w:szCs w:val="24"/>
        </w:rPr>
        <w:t xml:space="preserve"> model) and when </w:t>
      </w:r>
      <w:r w:rsidR="0096025D" w:rsidRPr="00683088">
        <w:rPr>
          <w:i/>
          <w:iCs/>
          <w:szCs w:val="24"/>
        </w:rPr>
        <w:t xml:space="preserve">A </w:t>
      </w:r>
      <w:r w:rsidR="0096025D" w:rsidRPr="00683088">
        <w:rPr>
          <w:szCs w:val="24"/>
        </w:rPr>
        <w:t xml:space="preserve">ceases completely, respectively. The </w:t>
      </w:r>
      <w:proofErr w:type="spellStart"/>
      <w:r w:rsidR="0096025D" w:rsidRPr="00683088">
        <w:rPr>
          <w:szCs w:val="24"/>
        </w:rPr>
        <w:t>θ</w:t>
      </w:r>
      <w:r w:rsidR="0096025D" w:rsidRPr="00683088">
        <w:rPr>
          <w:szCs w:val="24"/>
          <w:vertAlign w:val="subscript"/>
        </w:rPr>
        <w:t>c</w:t>
      </w:r>
      <w:proofErr w:type="spellEnd"/>
      <w:r w:rsidR="0096025D" w:rsidRPr="00683088">
        <w:rPr>
          <w:szCs w:val="24"/>
        </w:rPr>
        <w:t xml:space="preserve"> corresponds to the θ when </w:t>
      </w:r>
      <w:proofErr w:type="spellStart"/>
      <w:r w:rsidR="0096025D" w:rsidRPr="00683088">
        <w:rPr>
          <w:szCs w:val="24"/>
        </w:rPr>
        <w:t>Ψ</w:t>
      </w:r>
      <w:r w:rsidR="0096025D" w:rsidRPr="00683088">
        <w:rPr>
          <w:szCs w:val="24"/>
          <w:vertAlign w:val="subscript"/>
        </w:rPr>
        <w:t>s</w:t>
      </w:r>
      <w:proofErr w:type="spellEnd"/>
      <w:r w:rsidR="0096025D" w:rsidRPr="00683088">
        <w:rPr>
          <w:szCs w:val="24"/>
        </w:rPr>
        <w:t xml:space="preserve"> = -0.03 and </w:t>
      </w:r>
      <w:proofErr w:type="spellStart"/>
      <w:r w:rsidR="0096025D" w:rsidRPr="00683088">
        <w:rPr>
          <w:szCs w:val="24"/>
        </w:rPr>
        <w:t>θ</w:t>
      </w:r>
      <w:r w:rsidR="0096025D" w:rsidRPr="00683088">
        <w:rPr>
          <w:szCs w:val="24"/>
          <w:vertAlign w:val="subscript"/>
        </w:rPr>
        <w:t>w</w:t>
      </w:r>
      <w:proofErr w:type="spellEnd"/>
      <w:r w:rsidR="0096025D" w:rsidRPr="00683088">
        <w:rPr>
          <w:szCs w:val="24"/>
          <w:vertAlign w:val="subscript"/>
        </w:rPr>
        <w:t xml:space="preserve"> </w:t>
      </w:r>
      <w:r w:rsidR="0096025D" w:rsidRPr="00683088">
        <w:rPr>
          <w:szCs w:val="24"/>
        </w:rPr>
        <w:t xml:space="preserve">to the θ when </w:t>
      </w:r>
      <w:proofErr w:type="spellStart"/>
      <w:r w:rsidR="0096025D" w:rsidRPr="00683088">
        <w:rPr>
          <w:szCs w:val="24"/>
        </w:rPr>
        <w:t>Ψ</w:t>
      </w:r>
      <w:r w:rsidR="0096025D" w:rsidRPr="00683088">
        <w:rPr>
          <w:szCs w:val="24"/>
          <w:vertAlign w:val="subscript"/>
        </w:rPr>
        <w:t>s</w:t>
      </w:r>
      <w:proofErr w:type="spellEnd"/>
      <w:r w:rsidR="0096025D" w:rsidRPr="00683088">
        <w:rPr>
          <w:szCs w:val="24"/>
        </w:rPr>
        <w:t xml:space="preserve"> =</w:t>
      </w:r>
      <w:r w:rsidR="0096025D" w:rsidRPr="00683088">
        <w:rPr>
          <w:szCs w:val="24"/>
          <w:vertAlign w:val="subscript"/>
        </w:rPr>
        <w:t xml:space="preserve"> </w:t>
      </w:r>
      <w:r w:rsidR="0096025D" w:rsidRPr="00683088">
        <w:rPr>
          <w:szCs w:val="24"/>
        </w:rPr>
        <w:t xml:space="preserve">-1.5 MPa </w:t>
      </w:r>
      <w:r w:rsidR="0096025D" w:rsidRPr="00683088">
        <w:rPr>
          <w:i/>
          <w:szCs w:val="24"/>
        </w:rPr>
        <w:fldChar w:fldCharType="begin" w:fldLock="1"/>
      </w:r>
      <w:r w:rsidR="00BC06F6">
        <w:rPr>
          <w:i/>
          <w:szCs w:val="24"/>
        </w:rPr>
        <w:instrText>ADDIN CSL_CITATION {"citationItems":[{"id":"ITEM-1","itemData":{"DOI":"10.1016/S0022-1694(98)00203-0","ISBN":"0022-1694","ISSN":"00221694","PMID":"65","abstract":"Land surface schemes are vital components of general circulation models (GCMs) which provide the fluxes of heat, water and momentum at the land-atmosphere interface. The fluxes simulated by these schemes are especially dependent on the way in which the canopy (or 'bulk stomatal') conductance for plant transpiration is modelled. Considerable research has been carried out into the dependences of canopy conductance on the local environment, and empirical relationships for such dependences have been obtained by fitting the data collected in field and laboratory experiments. However, observed leaf level relationships between stomatal conductance and net photosynthesis suggest an alternative approach. Given an appropriate algorithm for scaling these values up to canopy level, such relationships allow canopy conductance values to be derived from (comparatively) well validated models of leaf photosynthesis. This approach is likely to become especially attractive as land surface schemes are extended to simulate CO2fluxes, since the shared environmental dependences of canopy conductance and photosynthesis reduce the number of model parameters which require independent specification. This paper is concerned with the evaluation of canopy level relationships between photosynthesis and conductance Using data from the first international satellite land surface climatology project (ISLSCP) field experiment (FIFE). Simultaneous measurements of CO2and water vapour fluxes, taken over a predominantly C4grassland, are used to independently test the conductance and photosynthesis models. Based on these tests, a simple coupled model of canopy conductance and photosynthesis is developed, which produces a good match to the experimental data.","author":[{"dropping-particle":"","family":"Cox","given":"P. M.","non-dropping-particle":"","parse-names":false,"suffix":""},{"dropping-particle":"","family":"Huntingford","given":"C.","non-dropping-particle":"","parse-names":false,"suffix":""},{"dropping-particle":"","family":"Harding","given":"R. J.","non-dropping-particle":"","parse-names":false,"suffix":""}],"container-title":"Journal of Hydrology","id":"ITEM-1","issue":"1-4","issued":{"date-parts":[["1998"]]},"page":"79-94","title":"A canopy conductance and photosynthesis model for use in a GCM land surface scheme","type":"article-journal","volume":"212-213"},"uris":["http://www.mendeley.com/documents/?uuid=62916792-3da1-464f-bee1-cca6694a9832"]}],"mendeley":{"formattedCitation":"[25]","plainTextFormattedCitation":"[25]","previouslyFormattedCitation":"[25]"},"properties":{"noteIndex":0},"schema":"https://github.com/citation-style-language/schema/raw/master/csl-citation.json"}</w:instrText>
      </w:r>
      <w:r w:rsidR="0096025D" w:rsidRPr="00683088">
        <w:rPr>
          <w:i/>
          <w:szCs w:val="24"/>
        </w:rPr>
        <w:fldChar w:fldCharType="separate"/>
      </w:r>
      <w:r w:rsidR="006015F6" w:rsidRPr="006015F6">
        <w:rPr>
          <w:noProof/>
          <w:szCs w:val="24"/>
        </w:rPr>
        <w:t>[25]</w:t>
      </w:r>
      <w:r w:rsidR="0096025D" w:rsidRPr="00683088">
        <w:rPr>
          <w:i/>
          <w:szCs w:val="24"/>
        </w:rPr>
        <w:fldChar w:fldCharType="end"/>
      </w:r>
      <w:r w:rsidR="0096025D" w:rsidRPr="00683088">
        <w:rPr>
          <w:szCs w:val="24"/>
        </w:rPr>
        <w:t xml:space="preserve">. The </w:t>
      </w:r>
      <w:r w:rsidR="0096025D" w:rsidRPr="00816B3A">
        <w:rPr>
          <w:i/>
          <w:szCs w:val="24"/>
        </w:rPr>
        <w:t>β</w:t>
      </w:r>
      <w:r w:rsidR="0096025D" w:rsidRPr="00683088">
        <w:rPr>
          <w:szCs w:val="24"/>
        </w:rPr>
        <w:t xml:space="preserve"> parameter is multiplied by </w:t>
      </w:r>
      <w:r w:rsidR="0096025D" w:rsidRPr="00683088">
        <w:rPr>
          <w:i/>
          <w:szCs w:val="24"/>
        </w:rPr>
        <w:t>A</w:t>
      </w:r>
      <w:r w:rsidR="0096025D" w:rsidRPr="00683088">
        <w:rPr>
          <w:szCs w:val="24"/>
        </w:rPr>
        <w:t xml:space="preserve"> to produce the soil moisture regulated </w:t>
      </w:r>
      <w:r w:rsidR="0096025D" w:rsidRPr="00683088">
        <w:rPr>
          <w:i/>
          <w:iCs/>
          <w:szCs w:val="24"/>
        </w:rPr>
        <w:t>A</w:t>
      </w:r>
      <w:r w:rsidR="0096025D" w:rsidRPr="00683088">
        <w:rPr>
          <w:szCs w:val="24"/>
        </w:rPr>
        <w:t xml:space="preserve">, which is then be used to calculate </w:t>
      </w:r>
      <w:proofErr w:type="spellStart"/>
      <w:r w:rsidR="0096025D" w:rsidRPr="00683088">
        <w:rPr>
          <w:i/>
          <w:iCs/>
          <w:szCs w:val="24"/>
        </w:rPr>
        <w:t>g</w:t>
      </w:r>
      <w:r w:rsidR="0096025D" w:rsidRPr="00683088">
        <w:rPr>
          <w:szCs w:val="24"/>
          <w:vertAlign w:val="subscript"/>
        </w:rPr>
        <w:t>c</w:t>
      </w:r>
      <w:proofErr w:type="spellEnd"/>
      <w:r w:rsidR="0096025D" w:rsidRPr="00683088">
        <w:rPr>
          <w:szCs w:val="24"/>
        </w:rPr>
        <w:t xml:space="preserve"> and </w:t>
      </w:r>
      <w:r w:rsidR="0096025D" w:rsidRPr="00683088">
        <w:rPr>
          <w:i/>
          <w:iCs/>
          <w:szCs w:val="24"/>
        </w:rPr>
        <w:t>E</w:t>
      </w:r>
      <w:r w:rsidR="0096025D" w:rsidRPr="00683088">
        <w:rPr>
          <w:szCs w:val="24"/>
        </w:rPr>
        <w:t xml:space="preserve">. </w:t>
      </w:r>
      <w:r w:rsidR="00BE2545">
        <w:rPr>
          <w:szCs w:val="24"/>
        </w:rPr>
        <w:t xml:space="preserve">See Cox </w:t>
      </w:r>
      <w:r w:rsidR="00BE2545" w:rsidRPr="00B5300A">
        <w:rPr>
          <w:i/>
          <w:szCs w:val="24"/>
        </w:rPr>
        <w:t>et al</w:t>
      </w:r>
      <w:r w:rsidR="00B5300A" w:rsidRPr="00B5300A">
        <w:rPr>
          <w:i/>
          <w:szCs w:val="24"/>
        </w:rPr>
        <w:t>.</w:t>
      </w:r>
      <w:r w:rsidR="00BE2545">
        <w:rPr>
          <w:szCs w:val="24"/>
        </w:rPr>
        <w:t xml:space="preserve"> </w:t>
      </w:r>
      <w:r w:rsidR="004B60FA">
        <w:rPr>
          <w:szCs w:val="24"/>
        </w:rPr>
        <w:fldChar w:fldCharType="begin" w:fldLock="1"/>
      </w:r>
      <w:r w:rsidR="00BC06F6">
        <w:rPr>
          <w:szCs w:val="24"/>
        </w:rPr>
        <w:instrText>ADDIN CSL_CITATION {"citationItems":[{"id":"ITEM-1","itemData":{"DOI":"10.1016/S0022-1694(98)00203-0","ISBN":"0022-1694","ISSN":"00221694","PMID":"65","abstract":"Land surface schemes are vital components of general circulation models (GCMs) which provide the fluxes of heat, water and momentum at the land-atmosphere interface. The fluxes simulated by these schemes are especially dependent on the way in which the canopy (or 'bulk stomatal') conductance for plant transpiration is modelled. Considerable research has been carried out into the dependences of canopy conductance on the local environment, and empirical relationships for such dependences have been obtained by fitting the data collected in field and laboratory experiments. However, observed leaf level relationships between stomatal conductance and net photosynthesis suggest an alternative approach. Given an appropriate algorithm for scaling these values up to canopy level, such relationships allow canopy conductance values to be derived from (comparatively) well validated models of leaf photosynthesis. This approach is likely to become especially attractive as land surface schemes are extended to simulate CO2fluxes, since the shared environmental dependences of canopy conductance and photosynthesis reduce the number of model parameters which require independent specification. This paper is concerned with the evaluation of canopy level relationships between photosynthesis and conductance Using data from the first international satellite land surface climatology project (ISLSCP) field experiment (FIFE). Simultaneous measurements of CO2and water vapour fluxes, taken over a predominantly C4grassland, are used to independently test the conductance and photosynthesis models. Based on these tests, a simple coupled model of canopy conductance and photosynthesis is developed, which produces a good match to the experimental data.","author":[{"dropping-particle":"","family":"Cox","given":"P. M.","non-dropping-particle":"","parse-names":false,"suffix":""},{"dropping-particle":"","family":"Huntingford","given":"C.","non-dropping-particle":"","parse-names":false,"suffix":""},{"dropping-particle":"","family":"Harding","given":"R. J.","non-dropping-particle":"","parse-names":false,"suffix":""}],"container-title":"Journal of Hydrology","id":"ITEM-1","issue":"1-4","issued":{"date-parts":[["1998"]]},"page":"79-94","title":"A canopy conductance and photosynthesis model for use in a GCM land surface scheme","type":"article-journal","volume":"212-213"},"uris":["http://www.mendeley.com/documents/?uuid=62916792-3da1-464f-bee1-cca6694a9832"]}],"mendeley":{"formattedCitation":"[25]","plainTextFormattedCitation":"[25]","previouslyFormattedCitation":"[25]"},"properties":{"noteIndex":0},"schema":"https://github.com/citation-style-language/schema/raw/master/csl-citation.json"}</w:instrText>
      </w:r>
      <w:r w:rsidR="004B60FA">
        <w:rPr>
          <w:szCs w:val="24"/>
        </w:rPr>
        <w:fldChar w:fldCharType="separate"/>
      </w:r>
      <w:r w:rsidR="006015F6" w:rsidRPr="006015F6">
        <w:rPr>
          <w:noProof/>
          <w:szCs w:val="24"/>
        </w:rPr>
        <w:t>[25]</w:t>
      </w:r>
      <w:r w:rsidR="004B60FA">
        <w:rPr>
          <w:szCs w:val="24"/>
        </w:rPr>
        <w:fldChar w:fldCharType="end"/>
      </w:r>
      <w:r w:rsidR="004B60FA">
        <w:rPr>
          <w:szCs w:val="24"/>
        </w:rPr>
        <w:t xml:space="preserve"> and the main text for details.</w:t>
      </w:r>
    </w:p>
    <w:p w14:paraId="14A9469A" w14:textId="77777777" w:rsidR="00E36170" w:rsidRDefault="00E36170">
      <w:pPr>
        <w:spacing w:line="360" w:lineRule="auto"/>
        <w:jc w:val="both"/>
        <w:rPr>
          <w:bCs/>
          <w:szCs w:val="24"/>
        </w:rPr>
      </w:pPr>
    </w:p>
    <w:p w14:paraId="2A702DEF" w14:textId="75B2746D" w:rsidR="0007297E" w:rsidRDefault="0007297E" w:rsidP="00440A85">
      <w:pPr>
        <w:spacing w:line="360" w:lineRule="auto"/>
        <w:jc w:val="both"/>
        <w:rPr>
          <w:b/>
          <w:szCs w:val="24"/>
        </w:rPr>
      </w:pPr>
    </w:p>
    <w:p w14:paraId="4A639C3A" w14:textId="5FEFBD36" w:rsidR="0007297E" w:rsidRDefault="0007297E" w:rsidP="00440A85">
      <w:pPr>
        <w:spacing w:line="360" w:lineRule="auto"/>
        <w:jc w:val="both"/>
        <w:rPr>
          <w:b/>
          <w:szCs w:val="24"/>
        </w:rPr>
      </w:pPr>
      <w:r>
        <w:rPr>
          <w:b/>
          <w:noProof/>
          <w:szCs w:val="24"/>
        </w:rPr>
        <w:lastRenderedPageBreak/>
        <w:drawing>
          <wp:inline distT="0" distB="0" distL="0" distR="0" wp14:anchorId="0B3AB25D" wp14:editId="22DDD9EE">
            <wp:extent cx="6012815" cy="601281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815" cy="6012815"/>
                    </a:xfrm>
                    <a:prstGeom prst="rect">
                      <a:avLst/>
                    </a:prstGeom>
                  </pic:spPr>
                </pic:pic>
              </a:graphicData>
            </a:graphic>
          </wp:inline>
        </w:drawing>
      </w:r>
    </w:p>
    <w:p w14:paraId="064E30CD" w14:textId="76179AF8" w:rsidR="0007297E" w:rsidRPr="004244FF" w:rsidRDefault="0007297E" w:rsidP="00440A85">
      <w:pPr>
        <w:spacing w:line="360" w:lineRule="auto"/>
        <w:jc w:val="both"/>
        <w:rPr>
          <w:szCs w:val="24"/>
        </w:rPr>
      </w:pPr>
      <w:r>
        <w:rPr>
          <w:b/>
          <w:szCs w:val="24"/>
        </w:rPr>
        <w:t>Fig</w:t>
      </w:r>
      <w:r w:rsidR="00197A7A">
        <w:rPr>
          <w:b/>
          <w:szCs w:val="24"/>
        </w:rPr>
        <w:t>ure</w:t>
      </w:r>
      <w:r>
        <w:rPr>
          <w:b/>
          <w:szCs w:val="24"/>
        </w:rPr>
        <w:t xml:space="preserve"> S</w:t>
      </w:r>
      <w:r w:rsidR="00A63A19">
        <w:rPr>
          <w:b/>
          <w:szCs w:val="24"/>
        </w:rPr>
        <w:t>5</w:t>
      </w:r>
      <w:r>
        <w:rPr>
          <w:b/>
          <w:szCs w:val="24"/>
        </w:rPr>
        <w:t xml:space="preserve">. </w:t>
      </w:r>
      <w:r w:rsidR="00E174B8">
        <w:rPr>
          <w:szCs w:val="24"/>
        </w:rPr>
        <w:t>Environmental</w:t>
      </w:r>
      <w:r w:rsidR="0035200E">
        <w:rPr>
          <w:szCs w:val="24"/>
        </w:rPr>
        <w:t xml:space="preserve"> data used to drive the model for the long-term simulations for the</w:t>
      </w:r>
      <w:r w:rsidR="00E174B8">
        <w:rPr>
          <w:szCs w:val="24"/>
        </w:rPr>
        <w:t xml:space="preserve"> three Amazonian sites used in this study, </w:t>
      </w:r>
      <w:r w:rsidR="0063328C">
        <w:rPr>
          <w:szCs w:val="24"/>
        </w:rPr>
        <w:t>Caxiuanã</w:t>
      </w:r>
      <w:r w:rsidR="00E174B8">
        <w:rPr>
          <w:szCs w:val="24"/>
        </w:rPr>
        <w:t xml:space="preserve"> (CAX), Tapajos (TAP) and Manaus (MAN). </w:t>
      </w:r>
      <w:r w:rsidR="00D93DBC">
        <w:rPr>
          <w:szCs w:val="24"/>
        </w:rPr>
        <w:t>The lines represent the daily air temperature (</w:t>
      </w:r>
      <w:r w:rsidR="00D93DBC" w:rsidRPr="004244FF">
        <w:rPr>
          <w:i/>
          <w:szCs w:val="24"/>
        </w:rPr>
        <w:t>T</w:t>
      </w:r>
      <w:r w:rsidR="00D93DBC" w:rsidRPr="004244FF">
        <w:rPr>
          <w:i/>
          <w:szCs w:val="24"/>
          <w:vertAlign w:val="subscript"/>
        </w:rPr>
        <w:t>a</w:t>
      </w:r>
      <w:r w:rsidR="00D93DBC">
        <w:rPr>
          <w:szCs w:val="24"/>
        </w:rPr>
        <w:t>), vapor pressure deficit (</w:t>
      </w:r>
      <w:r w:rsidR="00D93DBC" w:rsidRPr="004244FF">
        <w:rPr>
          <w:i/>
          <w:szCs w:val="24"/>
        </w:rPr>
        <w:t>D</w:t>
      </w:r>
      <w:r w:rsidR="00D93DBC">
        <w:rPr>
          <w:szCs w:val="24"/>
        </w:rPr>
        <w:t>) and soil water potential (</w:t>
      </w:r>
      <w:proofErr w:type="spellStart"/>
      <w:r w:rsidR="00D93DBC" w:rsidRPr="004520DA">
        <w:rPr>
          <w:szCs w:val="24"/>
        </w:rPr>
        <w:t>Ψ</w:t>
      </w:r>
      <w:r w:rsidR="00D93DBC" w:rsidRPr="004244FF">
        <w:rPr>
          <w:i/>
          <w:szCs w:val="24"/>
          <w:vertAlign w:val="subscript"/>
        </w:rPr>
        <w:t>s</w:t>
      </w:r>
      <w:proofErr w:type="spellEnd"/>
      <w:r w:rsidR="00D93DBC">
        <w:rPr>
          <w:szCs w:val="24"/>
        </w:rPr>
        <w:t xml:space="preserve">) at the midday from 1901 to 2016. </w:t>
      </w:r>
      <w:r w:rsidR="00C44D8D">
        <w:rPr>
          <w:szCs w:val="24"/>
        </w:rPr>
        <w:t xml:space="preserve">The black lines </w:t>
      </w:r>
      <w:r w:rsidR="00D36B5F">
        <w:rPr>
          <w:szCs w:val="24"/>
        </w:rPr>
        <w:t xml:space="preserve">are the unaltered meteorological data is derived from the 6-hourly </w:t>
      </w:r>
      <w:r w:rsidR="00D36B5F" w:rsidRPr="004C263C">
        <w:rPr>
          <w:szCs w:val="24"/>
        </w:rPr>
        <w:t>CRU-NCEP dataset</w:t>
      </w:r>
      <w:r w:rsidR="00D36B5F">
        <w:rPr>
          <w:szCs w:val="24"/>
        </w:rPr>
        <w:t xml:space="preserve">, while the </w:t>
      </w:r>
      <w:proofErr w:type="spellStart"/>
      <w:r w:rsidR="00D36B5F" w:rsidRPr="00B04E6A">
        <w:rPr>
          <w:szCs w:val="24"/>
        </w:rPr>
        <w:t>Ψ</w:t>
      </w:r>
      <w:r w:rsidR="00D36B5F" w:rsidRPr="00B04E6A">
        <w:rPr>
          <w:i/>
          <w:szCs w:val="24"/>
          <w:vertAlign w:val="subscript"/>
        </w:rPr>
        <w:t>s</w:t>
      </w:r>
      <w:proofErr w:type="spellEnd"/>
      <w:r w:rsidR="00D36B5F">
        <w:rPr>
          <w:i/>
          <w:szCs w:val="24"/>
          <w:vertAlign w:val="subscript"/>
        </w:rPr>
        <w:t xml:space="preserve"> </w:t>
      </w:r>
      <w:r w:rsidR="00D36B5F" w:rsidRPr="004244FF">
        <w:rPr>
          <w:szCs w:val="24"/>
        </w:rPr>
        <w:t>is</w:t>
      </w:r>
      <w:r w:rsidR="00D36B5F">
        <w:rPr>
          <w:szCs w:val="24"/>
          <w:vertAlign w:val="subscript"/>
        </w:rPr>
        <w:t xml:space="preserve"> </w:t>
      </w:r>
      <w:r w:rsidR="00D36B5F">
        <w:rPr>
          <w:szCs w:val="24"/>
        </w:rPr>
        <w:t xml:space="preserve">the monthly soil moisture product from JULES simulations. </w:t>
      </w:r>
      <w:r w:rsidR="00F16FAC">
        <w:rPr>
          <w:szCs w:val="24"/>
        </w:rPr>
        <w:t>T</w:t>
      </w:r>
      <w:r w:rsidR="00E758FB">
        <w:rPr>
          <w:szCs w:val="24"/>
        </w:rPr>
        <w:t xml:space="preserve">he </w:t>
      </w:r>
      <w:r w:rsidR="004E548C">
        <w:rPr>
          <w:szCs w:val="24"/>
        </w:rPr>
        <w:t xml:space="preserve">red lines correspond to the </w:t>
      </w:r>
      <w:r w:rsidR="00E4430D">
        <w:rPr>
          <w:szCs w:val="24"/>
        </w:rPr>
        <w:t>data without anomalies</w:t>
      </w:r>
      <w:r w:rsidR="00DD1F73">
        <w:rPr>
          <w:szCs w:val="24"/>
        </w:rPr>
        <w:t xml:space="preserve"> (</w:t>
      </w:r>
      <w:r w:rsidR="000134C0">
        <w:rPr>
          <w:szCs w:val="24"/>
        </w:rPr>
        <w:t>i.e. an average year)</w:t>
      </w:r>
      <w:r w:rsidR="00E4430D">
        <w:rPr>
          <w:szCs w:val="24"/>
        </w:rPr>
        <w:t xml:space="preserve"> used to drive Sim 2</w:t>
      </w:r>
      <w:r w:rsidR="000D7156">
        <w:rPr>
          <w:szCs w:val="24"/>
        </w:rPr>
        <w:t xml:space="preserve">, </w:t>
      </w:r>
      <w:r w:rsidR="00B01AFC">
        <w:rPr>
          <w:szCs w:val="24"/>
        </w:rPr>
        <w:t xml:space="preserve">Sim 3 </w:t>
      </w:r>
      <w:r w:rsidR="00DD1F73">
        <w:rPr>
          <w:szCs w:val="24"/>
        </w:rPr>
        <w:t>and Sim</w:t>
      </w:r>
      <w:r w:rsidR="00B01AFC">
        <w:rPr>
          <w:szCs w:val="24"/>
        </w:rPr>
        <w:t xml:space="preserve"> 4. </w:t>
      </w:r>
    </w:p>
    <w:p w14:paraId="7C252BB3" w14:textId="77777777" w:rsidR="0007297E" w:rsidRPr="004244FF" w:rsidRDefault="0007297E" w:rsidP="00440A85">
      <w:pPr>
        <w:spacing w:line="360" w:lineRule="auto"/>
        <w:jc w:val="both"/>
        <w:rPr>
          <w:b/>
          <w:szCs w:val="24"/>
        </w:rPr>
      </w:pPr>
    </w:p>
    <w:p w14:paraId="3516AB4E" w14:textId="2491B106" w:rsidR="00440A85" w:rsidRPr="00993651" w:rsidRDefault="000B76AD" w:rsidP="00440A85">
      <w:pPr>
        <w:spacing w:line="360" w:lineRule="auto"/>
        <w:jc w:val="both"/>
        <w:rPr>
          <w:b/>
          <w:bCs/>
          <w:szCs w:val="24"/>
        </w:rPr>
      </w:pPr>
      <w:r>
        <w:rPr>
          <w:b/>
          <w:bCs/>
          <w:noProof/>
          <w:szCs w:val="24"/>
        </w:rPr>
        <w:lastRenderedPageBreak/>
        <w:drawing>
          <wp:inline distT="0" distB="0" distL="0" distR="0" wp14:anchorId="0440F44C" wp14:editId="55775303">
            <wp:extent cx="6012815" cy="4373245"/>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2815" cy="4373245"/>
                    </a:xfrm>
                    <a:prstGeom prst="rect">
                      <a:avLst/>
                    </a:prstGeom>
                  </pic:spPr>
                </pic:pic>
              </a:graphicData>
            </a:graphic>
          </wp:inline>
        </w:drawing>
      </w:r>
    </w:p>
    <w:p w14:paraId="3516AB4F" w14:textId="54047734" w:rsidR="00440A85" w:rsidRDefault="00440A85" w:rsidP="00440A85">
      <w:pPr>
        <w:spacing w:line="360" w:lineRule="auto"/>
        <w:jc w:val="both"/>
        <w:rPr>
          <w:szCs w:val="24"/>
        </w:rPr>
      </w:pPr>
      <w:r w:rsidRPr="00993651">
        <w:rPr>
          <w:b/>
          <w:bCs/>
          <w:szCs w:val="24"/>
        </w:rPr>
        <w:t>Figure S</w:t>
      </w:r>
      <w:r w:rsidR="00A63A19">
        <w:rPr>
          <w:b/>
          <w:bCs/>
          <w:szCs w:val="24"/>
        </w:rPr>
        <w:t>6</w:t>
      </w:r>
      <w:r w:rsidRPr="00993651">
        <w:rPr>
          <w:b/>
          <w:bCs/>
          <w:szCs w:val="24"/>
        </w:rPr>
        <w:t xml:space="preserve">. </w:t>
      </w:r>
      <w:r w:rsidRPr="00993651">
        <w:rPr>
          <w:szCs w:val="24"/>
        </w:rPr>
        <w:t>Theoretical relationships between intracellular to atmospheric CO</w:t>
      </w:r>
      <w:r w:rsidRPr="00993651">
        <w:rPr>
          <w:szCs w:val="24"/>
          <w:vertAlign w:val="subscript"/>
        </w:rPr>
        <w:t>2</w:t>
      </w:r>
      <w:r w:rsidRPr="00993651">
        <w:rPr>
          <w:szCs w:val="24"/>
        </w:rPr>
        <w:t xml:space="preserve"> concentration ratio (</w:t>
      </w:r>
      <w:r w:rsidRPr="00FC3E0A">
        <w:rPr>
          <w:i/>
          <w:szCs w:val="24"/>
        </w:rPr>
        <w:t>c</w:t>
      </w:r>
      <w:r w:rsidRPr="00FC3E0A">
        <w:rPr>
          <w:i/>
          <w:szCs w:val="24"/>
          <w:vertAlign w:val="subscript"/>
        </w:rPr>
        <w:t>i</w:t>
      </w:r>
      <w:r w:rsidRPr="00FC3E0A">
        <w:rPr>
          <w:i/>
          <w:szCs w:val="24"/>
        </w:rPr>
        <w:t>/c</w:t>
      </w:r>
      <w:r w:rsidRPr="00FC3E0A">
        <w:rPr>
          <w:i/>
          <w:szCs w:val="24"/>
          <w:vertAlign w:val="subscript"/>
        </w:rPr>
        <w:t>a</w:t>
      </w:r>
      <w:r w:rsidRPr="00FC3E0A">
        <w:rPr>
          <w:szCs w:val="24"/>
        </w:rPr>
        <w:t>) and shortwave irradiance (</w:t>
      </w:r>
      <w:r w:rsidRPr="00FC3E0A">
        <w:rPr>
          <w:i/>
          <w:iCs/>
          <w:szCs w:val="24"/>
        </w:rPr>
        <w:t>I</w:t>
      </w:r>
      <w:r w:rsidR="005D50FE">
        <w:rPr>
          <w:szCs w:val="24"/>
          <w:vertAlign w:val="subscript"/>
        </w:rPr>
        <w:t>PAR</w:t>
      </w:r>
      <w:r w:rsidRPr="00FC3E0A">
        <w:rPr>
          <w:szCs w:val="24"/>
        </w:rPr>
        <w:t>), atmospheric carbon partial pressure (</w:t>
      </w:r>
      <w:r w:rsidR="005D50FE">
        <w:rPr>
          <w:i/>
          <w:iCs/>
          <w:szCs w:val="24"/>
        </w:rPr>
        <w:t>c</w:t>
      </w:r>
      <w:r w:rsidRPr="00FC3E0A">
        <w:rPr>
          <w:szCs w:val="24"/>
          <w:vertAlign w:val="subscript"/>
        </w:rPr>
        <w:t>a</w:t>
      </w:r>
      <w:r w:rsidRPr="0071509E">
        <w:rPr>
          <w:szCs w:val="24"/>
        </w:rPr>
        <w:t xml:space="preserve">), </w:t>
      </w:r>
      <w:r w:rsidR="005D50FE">
        <w:rPr>
          <w:szCs w:val="24"/>
        </w:rPr>
        <w:t>canopy</w:t>
      </w:r>
      <w:r w:rsidRPr="0071509E">
        <w:rPr>
          <w:szCs w:val="24"/>
        </w:rPr>
        <w:t xml:space="preserve"> temperature (</w:t>
      </w:r>
      <w:r w:rsidRPr="0071509E">
        <w:rPr>
          <w:i/>
          <w:iCs/>
          <w:szCs w:val="24"/>
        </w:rPr>
        <w:t>T</w:t>
      </w:r>
      <w:r w:rsidR="005D50FE" w:rsidRPr="004244FF">
        <w:rPr>
          <w:i/>
          <w:iCs/>
          <w:szCs w:val="24"/>
          <w:vertAlign w:val="subscript"/>
        </w:rPr>
        <w:t>c</w:t>
      </w:r>
      <w:r w:rsidRPr="0071509E">
        <w:rPr>
          <w:szCs w:val="24"/>
        </w:rPr>
        <w:t>), relative humidity (</w:t>
      </w:r>
      <w:r w:rsidR="005D50FE" w:rsidRPr="004244FF">
        <w:rPr>
          <w:i/>
          <w:szCs w:val="24"/>
        </w:rPr>
        <w:t>D</w:t>
      </w:r>
      <w:r w:rsidRPr="0071509E">
        <w:rPr>
          <w:szCs w:val="24"/>
        </w:rPr>
        <w:t>), soil water potential (</w:t>
      </w:r>
      <w:proofErr w:type="spellStart"/>
      <w:r w:rsidR="005D50FE" w:rsidRPr="004244FF">
        <w:rPr>
          <w:szCs w:val="24"/>
        </w:rPr>
        <w:t>Ψ</w:t>
      </w:r>
      <w:r w:rsidRPr="0071509E">
        <w:rPr>
          <w:szCs w:val="24"/>
          <w:vertAlign w:val="subscript"/>
        </w:rPr>
        <w:t>s</w:t>
      </w:r>
      <w:proofErr w:type="spellEnd"/>
      <w:r w:rsidRPr="0071509E">
        <w:rPr>
          <w:szCs w:val="24"/>
        </w:rPr>
        <w:t>), and vapour pressure deficit (</w:t>
      </w:r>
      <w:r w:rsidRPr="0071509E">
        <w:rPr>
          <w:i/>
          <w:iCs/>
          <w:szCs w:val="24"/>
        </w:rPr>
        <w:t>D</w:t>
      </w:r>
      <w:r w:rsidRPr="0071509E">
        <w:rPr>
          <w:szCs w:val="24"/>
        </w:rPr>
        <w:t>). All the other environmental and plant inputs were held constant at their default values (Table 1) except the parameters of the xylem vulnerability curve. The shape of the vulnerability curve (</w:t>
      </w:r>
      <w:r w:rsidRPr="0071509E">
        <w:rPr>
          <w:i/>
          <w:szCs w:val="24"/>
        </w:rPr>
        <w:t>a</w:t>
      </w:r>
      <w:r w:rsidRPr="0071509E">
        <w:rPr>
          <w:szCs w:val="24"/>
        </w:rPr>
        <w:t xml:space="preserve">) was calculated in function of the </w:t>
      </w:r>
      <w:r w:rsidR="00997914" w:rsidRPr="004244FF">
        <w:rPr>
          <w:szCs w:val="24"/>
        </w:rPr>
        <w:t>Ψ</w:t>
      </w:r>
      <w:r w:rsidRPr="0071509E">
        <w:rPr>
          <w:szCs w:val="24"/>
          <w:vertAlign w:val="subscript"/>
        </w:rPr>
        <w:t>50</w:t>
      </w:r>
      <w:r w:rsidRPr="0071509E">
        <w:rPr>
          <w:szCs w:val="24"/>
        </w:rPr>
        <w:t xml:space="preserve">, following Christoffersen </w:t>
      </w:r>
      <w:r w:rsidRPr="00D25FC8">
        <w:rPr>
          <w:i/>
          <w:szCs w:val="24"/>
        </w:rPr>
        <w:t>et al</w:t>
      </w:r>
      <w:r w:rsidR="00D25FC8" w:rsidRPr="00D25FC8">
        <w:rPr>
          <w:i/>
          <w:szCs w:val="24"/>
        </w:rPr>
        <w:t>.</w:t>
      </w:r>
      <w:r w:rsidRPr="0071509E">
        <w:rPr>
          <w:szCs w:val="24"/>
        </w:rPr>
        <w:t xml:space="preserve"> </w:t>
      </w:r>
      <w:r w:rsidRPr="00993651">
        <w:rPr>
          <w:szCs w:val="24"/>
        </w:rPr>
        <w:fldChar w:fldCharType="begin" w:fldLock="1"/>
      </w:r>
      <w:r w:rsidR="00BC06F6">
        <w:rPr>
          <w:szCs w:val="24"/>
        </w:rPr>
        <w:instrText>ADDIN CSL_CITATION {"citationItems":[{"id":"ITEM-1","itemData":{"DOI":"10.5194/gmd-9-4227-2016","ISBN":"1991-962X","ISSN":"19919603","abstract":"&lt;p&gt;Forest ecosystem models based on heuristic water stress functions poorly predict tropical forest response to drought because they do not capture the diversity of hydraulic traits (including variation in tree size) observed in tropical forests. We developed a Richards’ equation-based model of plant hydraulics in which all parameters of its constitutive equations are biologically-interpretable and measureable plant hydraulic traits (e.g., turgor loss point π&lt;sub&gt;&lt;i&gt;tlp&lt;/i&gt;&lt;/sub&gt;, bulk elastic modulus ε, hydraulic capacitance &lt;i&gt;C&lt;sub&gt;ft&lt;/sub&gt;&lt;/i&gt;, xylem hydraulic conductivity &lt;i&gt;k&lt;sub&gt;s,max&lt;/sub&gt;&lt;/i&gt;, water potential at 50 % loss of conductivity for both xylem (&lt;i&gt;P&lt;/i&gt;&lt;sub&gt;50,&lt;i&gt;x&lt;/i&gt;&lt;/sub&gt;) and stomata (&lt;i&gt;P&lt;/i&gt;&lt;sub&gt;50,&lt;i&gt;gs&lt;/i&gt;&lt;/sub&gt;), and the leaf:sapwood area ratio &lt;i&gt;A&lt;sub&gt;l&lt;/sub&gt;&lt;/i&gt;:&lt;i&gt;A&lt;sub&gt;s&lt;/sub&gt;&lt;/i&gt;). We embedded this plant hydraulics model within a forest simulator (TFS) that modeled individual tree light environments and their upper boundary condition (transpiration) as well as provided a means for parameterizing individual variation in hydraulic traits. We synthesized literature and existing databases to parameterize all hydraulic traits as a function of stem and leaf traits wood density (&lt;i&gt;WD&lt;/i&gt;), leaf mass per area (&lt;i&gt;LMA&lt;/i&gt;) and photosynthetic capacity (&lt;i&gt;A&lt;/i&gt;&lt;sub&gt;max&lt;/sub&gt;) and evaluated the coupled model’s (TFS-Hydro) predictions against diurnal and seasonal variability in stem and leaf water potential as well as stand-scaled sap flux. &lt;br&gt;&lt;br&gt; Our hydraulic trait synthesis revealed coordination among leaf and xylem hydraulic traits and statistically significant relationships of most hydraulic traits with more easily measured plant traits. Using the most informative empirical trait-trait relationships derived from this synthesis, the TFS-Hydro model parameterization is capable of representing patterns of coordination and trade-offs in hydraulic traits. TFS-Hydro successfully captured individual variation in leaf and stem water potential due to increasing tree size and light environment, with model representation of hydraulic architecture and plant traits exerting primary and secondary controls, respectively, on the fidelity of model predictions. The plant hydraulics model made substantial improvements to simulations of total ecosystem transpiration under control conditions, but the absence of a vertically stratified soil hydrology model precluded improvements to the simulation of drought response. Remaining uncertainties and l…","author":[{"dropping-particle":"","family":"Christoffersen","given":"Bradley O.","non-dropping-particle":"","parse-names":false,"suffix":""},{"dropping-particle":"","family":"Gloor","given":"Manuel","non-dropping-particle":"","parse-names":false,"suffix":""},{"dropping-particle":"","family":"Fauset","given":"Sophie","non-dropping-particle":"","parse-names":false,"suffix":""},{"dropping-particle":"","family":"Fyllas","given":"Nikolaos M.","non-dropping-particle":"","parse-names":false,"suffix":""},{"dropping-particle":"","family":"Galbraith","given":"David R.","non-dropping-particle":"","parse-names":false,"suffix":""},{"dropping-particle":"","family":"Baker","given":"Timothy R.","non-dropping-particle":"","parse-names":false,"suffix":""},{"dropping-particle":"","family":"Kruijt","given":"Bart","non-dropping-particle":"","parse-names":false,"suffix":""},{"dropping-particle":"","family":"Rowland","given":"Lucy","non-dropping-particle":"","parse-names":false,"suffix":""},{"dropping-particle":"","family":"Fisher","given":"Rosie A.","non-dropping-particle":"","parse-names":false,"suffix":""},{"dropping-particle":"","family":"Binks","given":"Oliver J.","non-dropping-particle":"","parse-names":false,"suffix":""},{"dropping-particle":"","family":"Sevanto","given":"Sanna","non-dropping-particle":"","parse-names":false,"suffix":""},{"dropping-particle":"","family":"Xu","given":"Chonggang","non-dropping-particle":"","parse-names":false,"suffix":""},{"dropping-particle":"","family":"Jansen","given":"Steven","non-dropping-particle":"","parse-names":false,"suffix":""},{"dropping-particle":"","family":"Choat","given":"Brendan","non-dropping-particle":"","parse-names":false,"suffix":""},{"dropping-particle":"","family":"Mencuccini","given":"Maurizio","non-dropping-particle":"","parse-names":false,"suffix":""},{"dropping-particle":"","family":"McDowell","given":"Nate G.","non-dropping-particle":"","parse-names":false,"suffix":""},{"dropping-particle":"","family":"Meir","given":"Patrick","non-dropping-particle":"","parse-names":false,"suffix":""}],"container-title":"Geoscientific Model Development","id":"ITEM-1","issue":"11","issued":{"date-parts":[["2016"]]},"page":"4227-4255","title":"Linking hydraulic traits to tropical forest function in a size-structured and trait-driven model (TFS v.1-Hydro)","type":"article-journal","volume":"9"},"uris":["http://www.mendeley.com/documents/?uuid=21be82fb-be7c-4771-bd27-2f001e575a0b"]}],"mendeley":{"formattedCitation":"[7]","plainTextFormattedCitation":"[7]","previouslyFormattedCitation":"[7]"},"properties":{"noteIndex":0},"schema":"https://github.com/citation-style-language/schema/raw/master/csl-citation.json"}</w:instrText>
      </w:r>
      <w:r w:rsidRPr="00993651">
        <w:rPr>
          <w:szCs w:val="24"/>
        </w:rPr>
        <w:fldChar w:fldCharType="separate"/>
      </w:r>
      <w:r w:rsidR="006015F6" w:rsidRPr="006015F6">
        <w:rPr>
          <w:noProof/>
          <w:szCs w:val="24"/>
        </w:rPr>
        <w:t>[7]</w:t>
      </w:r>
      <w:r w:rsidRPr="00993651">
        <w:rPr>
          <w:szCs w:val="24"/>
        </w:rPr>
        <w:fldChar w:fldCharType="end"/>
      </w:r>
      <w:r w:rsidRPr="00993651">
        <w:rPr>
          <w:szCs w:val="24"/>
        </w:rPr>
        <w:t xml:space="preserve">. The </w:t>
      </w:r>
      <w:r w:rsidR="00997914">
        <w:rPr>
          <w:szCs w:val="24"/>
        </w:rPr>
        <w:t xml:space="preserve">grey line </w:t>
      </w:r>
      <w:r w:rsidR="00AB1E9B">
        <w:rPr>
          <w:szCs w:val="24"/>
        </w:rPr>
        <w:t>is</w:t>
      </w:r>
      <w:r w:rsidR="00997914">
        <w:rPr>
          <w:szCs w:val="24"/>
        </w:rPr>
        <w:t xml:space="preserve"> the </w:t>
      </w:r>
      <w:r w:rsidR="00997914" w:rsidRPr="004244FF">
        <w:rPr>
          <w:i/>
          <w:szCs w:val="24"/>
        </w:rPr>
        <w:t>c</w:t>
      </w:r>
      <w:r w:rsidR="00997914" w:rsidRPr="004244FF">
        <w:rPr>
          <w:i/>
          <w:szCs w:val="24"/>
          <w:vertAlign w:val="subscript"/>
        </w:rPr>
        <w:t>i</w:t>
      </w:r>
      <w:r w:rsidR="00997914">
        <w:rPr>
          <w:szCs w:val="24"/>
        </w:rPr>
        <w:t xml:space="preserve"> predic</w:t>
      </w:r>
      <w:r w:rsidR="00AB1E9B">
        <w:rPr>
          <w:szCs w:val="24"/>
        </w:rPr>
        <w:t>t</w:t>
      </w:r>
      <w:r w:rsidR="00997914">
        <w:rPr>
          <w:szCs w:val="24"/>
        </w:rPr>
        <w:t xml:space="preserve">ed by </w:t>
      </w:r>
      <w:r w:rsidR="00AB1E9B">
        <w:rPr>
          <w:szCs w:val="24"/>
        </w:rPr>
        <w:t xml:space="preserve">the Jacobs </w:t>
      </w:r>
      <w:r w:rsidR="00AB1E9B">
        <w:rPr>
          <w:szCs w:val="24"/>
        </w:rPr>
        <w:fldChar w:fldCharType="begin" w:fldLock="1"/>
      </w:r>
      <w:r w:rsidR="00BC06F6">
        <w:rPr>
          <w:szCs w:val="24"/>
        </w:rPr>
        <w:instrText>ADDIN CSL_CITATION {"citationItems":[{"id":"ITEM-1","itemData":{"author":[{"dropping-particle":"","family":"Jacobs","given":"C","non-dropping-particle":"","parse-names":false,"suffix":""}],"id":"ITEM-1","issued":{"date-parts":[["1994"]]},"publisher-place":"Wageningen Agricultural University","title":"Direct impact of atmospheric CO2 enrichment on regional transpiration","type":"thesis"},"uris":["http://www.mendeley.com/documents/?uuid=7540b138-855f-4f11-aabd-bead6452cdd6"]}],"mendeley":{"formattedCitation":"[24]","plainTextFormattedCitation":"[24]","previouslyFormattedCitation":"[24]"},"properties":{"noteIndex":0},"schema":"https://github.com/citation-style-language/schema/raw/master/csl-citation.json"}</w:instrText>
      </w:r>
      <w:r w:rsidR="00AB1E9B">
        <w:rPr>
          <w:szCs w:val="24"/>
        </w:rPr>
        <w:fldChar w:fldCharType="separate"/>
      </w:r>
      <w:r w:rsidR="006015F6" w:rsidRPr="006015F6">
        <w:rPr>
          <w:noProof/>
          <w:szCs w:val="24"/>
        </w:rPr>
        <w:t>[24]</w:t>
      </w:r>
      <w:r w:rsidR="00AB1E9B">
        <w:rPr>
          <w:szCs w:val="24"/>
        </w:rPr>
        <w:fldChar w:fldCharType="end"/>
      </w:r>
      <w:r w:rsidR="00AB1E9B">
        <w:rPr>
          <w:szCs w:val="24"/>
        </w:rPr>
        <w:t xml:space="preserve"> equation used in the β model</w:t>
      </w:r>
      <w:r w:rsidR="008B7E88">
        <w:rPr>
          <w:szCs w:val="24"/>
        </w:rPr>
        <w:t xml:space="preserve"> (Fig. S</w:t>
      </w:r>
      <w:r w:rsidR="0061690C">
        <w:rPr>
          <w:szCs w:val="24"/>
        </w:rPr>
        <w:t>4</w:t>
      </w:r>
      <w:r w:rsidR="008B7E88">
        <w:rPr>
          <w:szCs w:val="24"/>
        </w:rPr>
        <w:t>).</w:t>
      </w:r>
    </w:p>
    <w:p w14:paraId="65AFC8EA" w14:textId="10563814" w:rsidR="00693F37" w:rsidRDefault="00693F37" w:rsidP="00440A85">
      <w:pPr>
        <w:spacing w:line="360" w:lineRule="auto"/>
        <w:jc w:val="both"/>
        <w:rPr>
          <w:szCs w:val="24"/>
        </w:rPr>
      </w:pPr>
    </w:p>
    <w:p w14:paraId="56B219E0" w14:textId="77777777" w:rsidR="00693F37" w:rsidRPr="00993651" w:rsidRDefault="00693F37" w:rsidP="00440A85">
      <w:pPr>
        <w:spacing w:line="360" w:lineRule="auto"/>
        <w:jc w:val="both"/>
        <w:rPr>
          <w:szCs w:val="24"/>
        </w:rPr>
      </w:pPr>
    </w:p>
    <w:p w14:paraId="2A8F8960" w14:textId="29302612" w:rsidR="00DC1DEE" w:rsidRDefault="00DC1DEE" w:rsidP="00440A85">
      <w:pPr>
        <w:spacing w:line="360" w:lineRule="auto"/>
        <w:jc w:val="both"/>
        <w:rPr>
          <w:szCs w:val="24"/>
        </w:rPr>
      </w:pPr>
    </w:p>
    <w:p w14:paraId="167995ED" w14:textId="51796130" w:rsidR="00DC1DEE" w:rsidRDefault="00DC1DEE" w:rsidP="00440A85">
      <w:pPr>
        <w:spacing w:line="360" w:lineRule="auto"/>
        <w:jc w:val="both"/>
        <w:rPr>
          <w:szCs w:val="24"/>
        </w:rPr>
      </w:pPr>
    </w:p>
    <w:p w14:paraId="38926234" w14:textId="62CE30B7" w:rsidR="00DC1DEE" w:rsidRDefault="00DC1DEE" w:rsidP="00440A85">
      <w:pPr>
        <w:spacing w:line="360" w:lineRule="auto"/>
        <w:jc w:val="both"/>
        <w:rPr>
          <w:szCs w:val="24"/>
        </w:rPr>
      </w:pPr>
    </w:p>
    <w:p w14:paraId="1B2FD5CB" w14:textId="15298326" w:rsidR="00DC1DEE" w:rsidRDefault="00DC1DEE" w:rsidP="00440A85">
      <w:pPr>
        <w:spacing w:line="360" w:lineRule="auto"/>
        <w:jc w:val="both"/>
        <w:rPr>
          <w:szCs w:val="24"/>
        </w:rPr>
      </w:pPr>
    </w:p>
    <w:p w14:paraId="3516AB52" w14:textId="6776736D" w:rsidR="00440A85" w:rsidRDefault="00440A85" w:rsidP="00440A85">
      <w:pPr>
        <w:spacing w:line="360" w:lineRule="auto"/>
        <w:jc w:val="center"/>
        <w:rPr>
          <w:b/>
          <w:bCs/>
          <w:szCs w:val="24"/>
        </w:rPr>
      </w:pPr>
    </w:p>
    <w:p w14:paraId="463713F6" w14:textId="4A0590DE" w:rsidR="00DF6C0E" w:rsidRDefault="00DF6C0E" w:rsidP="00440A85">
      <w:pPr>
        <w:spacing w:line="360" w:lineRule="auto"/>
        <w:jc w:val="center"/>
        <w:rPr>
          <w:b/>
          <w:bCs/>
          <w:szCs w:val="24"/>
        </w:rPr>
      </w:pPr>
    </w:p>
    <w:p w14:paraId="52937FF2" w14:textId="7FA044F2" w:rsidR="00DF6C0E" w:rsidRDefault="00DF6C0E" w:rsidP="00440A85">
      <w:pPr>
        <w:spacing w:line="360" w:lineRule="auto"/>
        <w:jc w:val="center"/>
        <w:rPr>
          <w:b/>
          <w:bCs/>
          <w:szCs w:val="24"/>
        </w:rPr>
      </w:pPr>
    </w:p>
    <w:p w14:paraId="4281F68B" w14:textId="0EDC0B70" w:rsidR="00DF6C0E" w:rsidRDefault="00DF6C0E" w:rsidP="00440A85">
      <w:pPr>
        <w:spacing w:line="360" w:lineRule="auto"/>
        <w:jc w:val="center"/>
        <w:rPr>
          <w:b/>
          <w:bCs/>
          <w:szCs w:val="24"/>
        </w:rPr>
      </w:pPr>
    </w:p>
    <w:p w14:paraId="2AAF9278" w14:textId="2C92C3B6" w:rsidR="00DF6C0E" w:rsidRDefault="00DF6C0E" w:rsidP="00440A85">
      <w:pPr>
        <w:spacing w:line="360" w:lineRule="auto"/>
        <w:jc w:val="center"/>
        <w:rPr>
          <w:b/>
          <w:bCs/>
          <w:szCs w:val="24"/>
        </w:rPr>
      </w:pPr>
    </w:p>
    <w:p w14:paraId="156AE6D9" w14:textId="4126E27B" w:rsidR="00DF6C0E" w:rsidRDefault="00DF6C0E" w:rsidP="00440A85">
      <w:pPr>
        <w:spacing w:line="360" w:lineRule="auto"/>
        <w:jc w:val="center"/>
        <w:rPr>
          <w:b/>
          <w:bCs/>
          <w:szCs w:val="24"/>
        </w:rPr>
      </w:pPr>
    </w:p>
    <w:p w14:paraId="0BCB65BF" w14:textId="4C378A3B" w:rsidR="00DF6C0E" w:rsidRPr="00993651" w:rsidRDefault="00886CBD" w:rsidP="00440A85">
      <w:pPr>
        <w:spacing w:line="360" w:lineRule="auto"/>
        <w:jc w:val="center"/>
        <w:rPr>
          <w:b/>
          <w:bCs/>
          <w:szCs w:val="24"/>
        </w:rPr>
      </w:pPr>
      <w:r>
        <w:rPr>
          <w:b/>
          <w:bCs/>
          <w:noProof/>
          <w:szCs w:val="24"/>
        </w:rPr>
        <w:drawing>
          <wp:inline distT="0" distB="0" distL="0" distR="0" wp14:anchorId="09BED6DF" wp14:editId="172447FF">
            <wp:extent cx="6292821" cy="414669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3.tiff"/>
                    <pic:cNvPicPr/>
                  </pic:nvPicPr>
                  <pic:blipFill rotWithShape="1">
                    <a:blip r:embed="rId14" cstate="print">
                      <a:extLst>
                        <a:ext uri="{28A0092B-C50C-407E-A947-70E740481C1C}">
                          <a14:useLocalDpi xmlns:a14="http://schemas.microsoft.com/office/drawing/2010/main" val="0"/>
                        </a:ext>
                      </a:extLst>
                    </a:blip>
                    <a:srcRect l="11048" t="15697" r="4246" b="21508"/>
                    <a:stretch/>
                  </pic:blipFill>
                  <pic:spPr bwMode="auto">
                    <a:xfrm>
                      <a:off x="0" y="0"/>
                      <a:ext cx="6297250" cy="4149616"/>
                    </a:xfrm>
                    <a:prstGeom prst="rect">
                      <a:avLst/>
                    </a:prstGeom>
                    <a:ln>
                      <a:noFill/>
                    </a:ln>
                    <a:extLst>
                      <a:ext uri="{53640926-AAD7-44D8-BBD7-CCE9431645EC}">
                        <a14:shadowObscured xmlns:a14="http://schemas.microsoft.com/office/drawing/2010/main"/>
                      </a:ext>
                    </a:extLst>
                  </pic:spPr>
                </pic:pic>
              </a:graphicData>
            </a:graphic>
          </wp:inline>
        </w:drawing>
      </w:r>
    </w:p>
    <w:p w14:paraId="3516AB53" w14:textId="2AC6C520" w:rsidR="00440A85" w:rsidRPr="00FC3E0A" w:rsidRDefault="00440A85" w:rsidP="00440A85">
      <w:pPr>
        <w:spacing w:line="360" w:lineRule="auto"/>
        <w:jc w:val="both"/>
        <w:rPr>
          <w:bCs/>
          <w:szCs w:val="24"/>
        </w:rPr>
      </w:pPr>
      <w:r w:rsidRPr="00993651">
        <w:rPr>
          <w:b/>
          <w:bCs/>
          <w:szCs w:val="24"/>
        </w:rPr>
        <w:t xml:space="preserve">Figure </w:t>
      </w:r>
      <w:r w:rsidR="00CE47D6" w:rsidRPr="00993651">
        <w:rPr>
          <w:b/>
          <w:bCs/>
          <w:szCs w:val="24"/>
        </w:rPr>
        <w:t>S</w:t>
      </w:r>
      <w:r w:rsidR="00A63A19">
        <w:rPr>
          <w:b/>
          <w:bCs/>
          <w:szCs w:val="24"/>
        </w:rPr>
        <w:t>7</w:t>
      </w:r>
      <w:r w:rsidRPr="00993651">
        <w:rPr>
          <w:b/>
          <w:bCs/>
          <w:szCs w:val="24"/>
        </w:rPr>
        <w:t xml:space="preserve">. </w:t>
      </w:r>
      <w:r w:rsidRPr="00993651">
        <w:rPr>
          <w:bCs/>
          <w:szCs w:val="24"/>
        </w:rPr>
        <w:t xml:space="preserve">Taylor diagram using the monthly evaporation predictions for the Caxiuanã site. Points closer to the solid radial line have a similar standard deviation to the observations and the distance to the observations in the x-axis is proportional to the model centred root mean squared errors </w:t>
      </w:r>
      <w:r w:rsidRPr="00993651">
        <w:rPr>
          <w:bCs/>
          <w:szCs w:val="24"/>
        </w:rPr>
        <w:fldChar w:fldCharType="begin" w:fldLock="1"/>
      </w:r>
      <w:r w:rsidR="00BC06F6">
        <w:rPr>
          <w:bCs/>
          <w:szCs w:val="24"/>
        </w:rPr>
        <w:instrText>ADDIN CSL_CITATION {"citationItems":[{"id":"ITEM-1","itemData":{"DOI":"10.1029/2000JD900719","ISBN":"2156-2202","ISSN":"01480227","PMID":"168189400001","abstract":"A diagram has been devised that can provide a concise statistical summary of how well patterns match each other in terms of their correlation, their root-mean-square difference and the ratio of their variances. Although the form of this diagram is general, it is especially useful in evaluating complex models, such as those used to study geophysical phenomena. Examples are given showing that the diagram can be used to summarize the relative merits of a collection of different models or to track changes in performance of a model as it is modified. Methods are suggested for indicating on these diagrams the statistical significance of apparent differences, and the degree to which observational uncertainty and unforced internal variability limit the expected agreement between model-simulated and observed behaviors. The geometric relationship between the statistics plotted on the diagram also provides some guidance for devising skill scores that appropriately weight among the various measures of pattern correspondence.","author":[{"dropping-particle":"","family":"Taylor","given":"Karl E.","non-dropping-particle":"","parse-names":false,"suffix":""}],"container-title":"Journal of Geophysical Research: Atmospheres","id":"ITEM-1","issue":"D7","issued":{"date-parts":[["2001"]]},"page":"7183-7192","title":"Summarizing multiple aspects of model performance in a single diagram","type":"article-journal","volume":"106"},"uris":["http://www.mendeley.com/documents/?uuid=cb42e075-51b1-4fb0-8d1c-d39bb8f622f9"]}],"mendeley":{"formattedCitation":"[26]","plainTextFormattedCitation":"[26]","previouslyFormattedCitation":"[26]"},"properties":{"noteIndex":0},"schema":"https://github.com/citation-style-language/schema/raw/master/csl-citation.json"}</w:instrText>
      </w:r>
      <w:r w:rsidRPr="00993651">
        <w:rPr>
          <w:bCs/>
          <w:szCs w:val="24"/>
        </w:rPr>
        <w:fldChar w:fldCharType="separate"/>
      </w:r>
      <w:r w:rsidR="006015F6" w:rsidRPr="006015F6">
        <w:rPr>
          <w:bCs/>
          <w:noProof/>
          <w:szCs w:val="24"/>
        </w:rPr>
        <w:t>[26]</w:t>
      </w:r>
      <w:r w:rsidRPr="00993651">
        <w:rPr>
          <w:bCs/>
          <w:szCs w:val="24"/>
        </w:rPr>
        <w:fldChar w:fldCharType="end"/>
      </w:r>
      <w:r w:rsidRPr="00993651">
        <w:rPr>
          <w:bCs/>
          <w:szCs w:val="24"/>
        </w:rPr>
        <w:t xml:space="preserve">. The filled </w:t>
      </w:r>
      <w:r w:rsidR="00C800AC">
        <w:rPr>
          <w:bCs/>
          <w:szCs w:val="24"/>
        </w:rPr>
        <w:t>symbols</w:t>
      </w:r>
      <w:r w:rsidR="00C800AC" w:rsidRPr="00993651">
        <w:rPr>
          <w:bCs/>
          <w:szCs w:val="24"/>
        </w:rPr>
        <w:t xml:space="preserve"> </w:t>
      </w:r>
      <w:r w:rsidRPr="00993651">
        <w:rPr>
          <w:bCs/>
          <w:szCs w:val="24"/>
        </w:rPr>
        <w:t xml:space="preserve">represent the control plot and the empty are the </w:t>
      </w:r>
      <w:proofErr w:type="spellStart"/>
      <w:r w:rsidRPr="00993651">
        <w:rPr>
          <w:bCs/>
          <w:szCs w:val="24"/>
        </w:rPr>
        <w:t>thoughfall</w:t>
      </w:r>
      <w:proofErr w:type="spellEnd"/>
      <w:r w:rsidRPr="00993651">
        <w:rPr>
          <w:bCs/>
          <w:szCs w:val="24"/>
        </w:rPr>
        <w:t xml:space="preserve"> exclusion treatment (TFE</w:t>
      </w:r>
      <w:r w:rsidR="00265CF8">
        <w:rPr>
          <w:bCs/>
          <w:szCs w:val="24"/>
        </w:rPr>
        <w:t>)</w:t>
      </w:r>
      <w:r w:rsidRPr="00993651">
        <w:rPr>
          <w:bCs/>
          <w:szCs w:val="24"/>
        </w:rPr>
        <w:t xml:space="preserve">. </w:t>
      </w:r>
      <w:r w:rsidRPr="00993651">
        <w:rPr>
          <w:szCs w:val="24"/>
        </w:rPr>
        <w:t xml:space="preserve">The </w:t>
      </w:r>
      <w:r w:rsidRPr="00993651">
        <w:rPr>
          <w:i/>
          <w:iCs/>
          <w:color w:val="222222"/>
          <w:szCs w:val="24"/>
        </w:rPr>
        <w:sym w:font="Symbol" w:char="F062"/>
      </w:r>
      <w:r w:rsidR="009F19D4">
        <w:rPr>
          <w:iCs/>
          <w:color w:val="222222"/>
          <w:szCs w:val="24"/>
          <w:vertAlign w:val="subscript"/>
        </w:rPr>
        <w:t>off</w:t>
      </w:r>
      <w:r w:rsidRPr="00993651" w:rsidDel="00D1234F">
        <w:rPr>
          <w:szCs w:val="24"/>
        </w:rPr>
        <w:t xml:space="preserve"> </w:t>
      </w:r>
      <w:r w:rsidRPr="00993651">
        <w:rPr>
          <w:szCs w:val="24"/>
        </w:rPr>
        <w:t>is a model without an active representation of soil moisture stress (</w:t>
      </w:r>
      <w:r w:rsidR="00FC4419">
        <w:rPr>
          <w:szCs w:val="24"/>
        </w:rPr>
        <w:t>i.e. the model described in Fig. S</w:t>
      </w:r>
      <w:r w:rsidR="00A63A19">
        <w:rPr>
          <w:szCs w:val="24"/>
        </w:rPr>
        <w:t>4</w:t>
      </w:r>
      <w:r w:rsidR="00FC4419">
        <w:rPr>
          <w:szCs w:val="24"/>
        </w:rPr>
        <w:t xml:space="preserve"> with </w:t>
      </w:r>
      <w:r w:rsidRPr="00993651">
        <w:rPr>
          <w:i/>
          <w:szCs w:val="24"/>
        </w:rPr>
        <w:t>β</w:t>
      </w:r>
      <w:r w:rsidR="009F19D4">
        <w:rPr>
          <w:i/>
          <w:szCs w:val="24"/>
        </w:rPr>
        <w:t xml:space="preserve"> </w:t>
      </w:r>
      <w:r w:rsidRPr="00993651">
        <w:rPr>
          <w:szCs w:val="24"/>
        </w:rPr>
        <w:t xml:space="preserve">set to 1).  </w:t>
      </w:r>
    </w:p>
    <w:p w14:paraId="3516AB54" w14:textId="48D00591" w:rsidR="00440A85" w:rsidRDefault="00440A85" w:rsidP="004244FF">
      <w:pPr>
        <w:spacing w:line="360" w:lineRule="auto"/>
        <w:jc w:val="center"/>
        <w:rPr>
          <w:b/>
          <w:bCs/>
          <w:szCs w:val="24"/>
        </w:rPr>
      </w:pPr>
    </w:p>
    <w:p w14:paraId="6F7261C4" w14:textId="121D9118" w:rsidR="00DF6C0E" w:rsidRDefault="00DF6C0E" w:rsidP="004244FF">
      <w:pPr>
        <w:spacing w:line="360" w:lineRule="auto"/>
        <w:jc w:val="center"/>
        <w:rPr>
          <w:b/>
          <w:bCs/>
          <w:szCs w:val="24"/>
        </w:rPr>
      </w:pPr>
    </w:p>
    <w:p w14:paraId="135406FC" w14:textId="199CAD0B" w:rsidR="00DF6C0E" w:rsidRDefault="00DF6C0E" w:rsidP="004244FF">
      <w:pPr>
        <w:spacing w:line="360" w:lineRule="auto"/>
        <w:jc w:val="center"/>
        <w:rPr>
          <w:b/>
          <w:bCs/>
          <w:szCs w:val="24"/>
        </w:rPr>
      </w:pPr>
    </w:p>
    <w:p w14:paraId="2AA73B04" w14:textId="6C8FCEE2" w:rsidR="00DF6C0E" w:rsidRDefault="00DF6C0E" w:rsidP="004244FF">
      <w:pPr>
        <w:spacing w:line="360" w:lineRule="auto"/>
        <w:jc w:val="center"/>
        <w:rPr>
          <w:b/>
          <w:bCs/>
          <w:szCs w:val="24"/>
        </w:rPr>
      </w:pPr>
    </w:p>
    <w:p w14:paraId="6400AA69" w14:textId="08967728" w:rsidR="00DF6C0E" w:rsidRDefault="00DF6C0E" w:rsidP="004244FF">
      <w:pPr>
        <w:spacing w:line="360" w:lineRule="auto"/>
        <w:jc w:val="center"/>
        <w:rPr>
          <w:b/>
          <w:bCs/>
          <w:szCs w:val="24"/>
        </w:rPr>
      </w:pPr>
    </w:p>
    <w:p w14:paraId="0F65FA6C" w14:textId="5644C03F" w:rsidR="00DF6C0E" w:rsidRDefault="00DF6C0E" w:rsidP="004244FF">
      <w:pPr>
        <w:spacing w:line="360" w:lineRule="auto"/>
        <w:jc w:val="center"/>
        <w:rPr>
          <w:b/>
          <w:bCs/>
          <w:szCs w:val="24"/>
        </w:rPr>
      </w:pPr>
    </w:p>
    <w:p w14:paraId="269027E0" w14:textId="035680F0" w:rsidR="00DF6C0E" w:rsidRDefault="00DF6C0E" w:rsidP="004244FF">
      <w:pPr>
        <w:spacing w:line="360" w:lineRule="auto"/>
        <w:jc w:val="center"/>
        <w:rPr>
          <w:b/>
          <w:bCs/>
          <w:szCs w:val="24"/>
        </w:rPr>
      </w:pPr>
    </w:p>
    <w:p w14:paraId="289D3262" w14:textId="31A2A01C" w:rsidR="00DF6C0E" w:rsidRDefault="00DF6C0E" w:rsidP="004244FF">
      <w:pPr>
        <w:spacing w:line="360" w:lineRule="auto"/>
        <w:jc w:val="center"/>
        <w:rPr>
          <w:b/>
          <w:bCs/>
          <w:szCs w:val="24"/>
        </w:rPr>
      </w:pPr>
    </w:p>
    <w:p w14:paraId="46E52917" w14:textId="606625CE" w:rsidR="00DF6C0E" w:rsidRDefault="00DF6C0E" w:rsidP="004244FF">
      <w:pPr>
        <w:spacing w:line="360" w:lineRule="auto"/>
        <w:jc w:val="center"/>
        <w:rPr>
          <w:b/>
          <w:bCs/>
          <w:szCs w:val="24"/>
        </w:rPr>
      </w:pPr>
    </w:p>
    <w:p w14:paraId="49C5307E" w14:textId="2CE237C1" w:rsidR="00DF6C0E" w:rsidRDefault="00DF6C0E" w:rsidP="004244FF">
      <w:pPr>
        <w:spacing w:line="360" w:lineRule="auto"/>
        <w:jc w:val="center"/>
        <w:rPr>
          <w:b/>
          <w:bCs/>
          <w:szCs w:val="24"/>
        </w:rPr>
      </w:pPr>
    </w:p>
    <w:p w14:paraId="7D81A2C1" w14:textId="714DB66E" w:rsidR="00DF6C0E" w:rsidRDefault="00DF6C0E" w:rsidP="004244FF">
      <w:pPr>
        <w:spacing w:line="360" w:lineRule="auto"/>
        <w:jc w:val="center"/>
        <w:rPr>
          <w:b/>
          <w:bCs/>
          <w:szCs w:val="24"/>
        </w:rPr>
      </w:pPr>
    </w:p>
    <w:p w14:paraId="4D5C7E97" w14:textId="70713E98" w:rsidR="00DF6C0E" w:rsidRDefault="00DF6C0E" w:rsidP="004244FF">
      <w:pPr>
        <w:spacing w:line="360" w:lineRule="auto"/>
        <w:jc w:val="center"/>
        <w:rPr>
          <w:b/>
          <w:bCs/>
          <w:szCs w:val="24"/>
        </w:rPr>
      </w:pPr>
    </w:p>
    <w:p w14:paraId="3C4705F9" w14:textId="6D0F981F" w:rsidR="00DF6C0E" w:rsidRPr="00993651" w:rsidRDefault="00DF6C0E" w:rsidP="004244FF">
      <w:pPr>
        <w:spacing w:line="360" w:lineRule="auto"/>
        <w:jc w:val="center"/>
        <w:rPr>
          <w:b/>
          <w:bCs/>
          <w:szCs w:val="24"/>
        </w:rPr>
      </w:pPr>
      <w:r>
        <w:rPr>
          <w:b/>
          <w:bCs/>
          <w:noProof/>
          <w:szCs w:val="24"/>
        </w:rPr>
        <w:lastRenderedPageBreak/>
        <w:drawing>
          <wp:inline distT="0" distB="0" distL="0" distR="0" wp14:anchorId="0A4BD946" wp14:editId="7FDCE764">
            <wp:extent cx="5712031" cy="661822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4.tiff"/>
                    <pic:cNvPicPr/>
                  </pic:nvPicPr>
                  <pic:blipFill rotWithShape="1">
                    <a:blip r:embed="rId15" cstate="print">
                      <a:extLst>
                        <a:ext uri="{28A0092B-C50C-407E-A947-70E740481C1C}">
                          <a14:useLocalDpi xmlns:a14="http://schemas.microsoft.com/office/drawing/2010/main" val="0"/>
                        </a:ext>
                      </a:extLst>
                    </a:blip>
                    <a:srcRect l="2173" r="11520"/>
                    <a:stretch/>
                  </pic:blipFill>
                  <pic:spPr bwMode="auto">
                    <a:xfrm>
                      <a:off x="0" y="0"/>
                      <a:ext cx="5715689" cy="6622464"/>
                    </a:xfrm>
                    <a:prstGeom prst="rect">
                      <a:avLst/>
                    </a:prstGeom>
                    <a:ln>
                      <a:noFill/>
                    </a:ln>
                    <a:extLst>
                      <a:ext uri="{53640926-AAD7-44D8-BBD7-CCE9431645EC}">
                        <a14:shadowObscured xmlns:a14="http://schemas.microsoft.com/office/drawing/2010/main"/>
                      </a:ext>
                    </a:extLst>
                  </pic:spPr>
                </pic:pic>
              </a:graphicData>
            </a:graphic>
          </wp:inline>
        </w:drawing>
      </w:r>
    </w:p>
    <w:p w14:paraId="1516B3F4" w14:textId="0048B069" w:rsidR="0026050A" w:rsidRDefault="00440A85" w:rsidP="00440A85">
      <w:pPr>
        <w:spacing w:line="360" w:lineRule="auto"/>
        <w:jc w:val="both"/>
        <w:rPr>
          <w:bCs/>
          <w:szCs w:val="24"/>
        </w:rPr>
      </w:pPr>
      <w:r w:rsidRPr="00993651">
        <w:rPr>
          <w:b/>
          <w:bCs/>
          <w:szCs w:val="24"/>
        </w:rPr>
        <w:t xml:space="preserve">Figure </w:t>
      </w:r>
      <w:r w:rsidR="00CE47D6" w:rsidRPr="00993651">
        <w:rPr>
          <w:b/>
          <w:bCs/>
          <w:szCs w:val="24"/>
        </w:rPr>
        <w:t>S</w:t>
      </w:r>
      <w:r w:rsidR="00A63A19">
        <w:rPr>
          <w:b/>
          <w:bCs/>
          <w:szCs w:val="24"/>
        </w:rPr>
        <w:t>8</w:t>
      </w:r>
      <w:r w:rsidRPr="00993651">
        <w:rPr>
          <w:b/>
          <w:bCs/>
          <w:szCs w:val="24"/>
        </w:rPr>
        <w:t xml:space="preserve">. </w:t>
      </w:r>
      <w:r w:rsidR="00480D3E">
        <w:rPr>
          <w:bCs/>
          <w:szCs w:val="24"/>
        </w:rPr>
        <w:t xml:space="preserve">Minimum daily </w:t>
      </w:r>
      <w:r w:rsidRPr="00993651">
        <w:rPr>
          <w:i/>
          <w:iCs/>
          <w:color w:val="222222"/>
          <w:szCs w:val="24"/>
        </w:rPr>
        <w:sym w:font="Symbol" w:char="F062"/>
      </w:r>
      <w:r w:rsidRPr="00993651" w:rsidDel="00D1234F">
        <w:rPr>
          <w:bCs/>
          <w:szCs w:val="24"/>
        </w:rPr>
        <w:t xml:space="preserve"> </w:t>
      </w:r>
      <w:r w:rsidR="00480D3E">
        <w:rPr>
          <w:bCs/>
          <w:szCs w:val="24"/>
        </w:rPr>
        <w:t>values</w:t>
      </w:r>
      <w:r w:rsidRPr="00993651">
        <w:rPr>
          <w:bCs/>
          <w:szCs w:val="24"/>
        </w:rPr>
        <w:t xml:space="preserve"> </w:t>
      </w:r>
      <w:r w:rsidR="00480D3E">
        <w:rPr>
          <w:bCs/>
          <w:szCs w:val="24"/>
        </w:rPr>
        <w:t xml:space="preserve">predicted by </w:t>
      </w:r>
      <w:r w:rsidR="0026245A">
        <w:rPr>
          <w:bCs/>
          <w:szCs w:val="24"/>
        </w:rPr>
        <w:t>the</w:t>
      </w:r>
      <w:r w:rsidR="0026245A" w:rsidRPr="0026245A">
        <w:t xml:space="preserve"> </w:t>
      </w:r>
      <w:r w:rsidR="0026245A" w:rsidRPr="0026245A">
        <w:rPr>
          <w:bCs/>
          <w:szCs w:val="24"/>
        </w:rPr>
        <w:t>β-function model</w:t>
      </w:r>
      <w:r w:rsidR="00B44E54" w:rsidRPr="00993651">
        <w:rPr>
          <w:bCs/>
          <w:szCs w:val="24"/>
        </w:rPr>
        <w:t xml:space="preserve"> </w:t>
      </w:r>
      <w:r w:rsidRPr="00993651">
        <w:rPr>
          <w:bCs/>
          <w:szCs w:val="24"/>
        </w:rPr>
        <w:t xml:space="preserve">and </w:t>
      </w:r>
      <w:r w:rsidR="00D36923">
        <w:rPr>
          <w:bCs/>
          <w:szCs w:val="24"/>
        </w:rPr>
        <w:t>the normalised root to canopy hydraulic conductance</w:t>
      </w:r>
      <w:r w:rsidRPr="00993651">
        <w:rPr>
          <w:bCs/>
          <w:szCs w:val="24"/>
        </w:rPr>
        <w:t xml:space="preserve"> </w:t>
      </w:r>
      <w:r w:rsidR="00D36923">
        <w:rPr>
          <w:bCs/>
          <w:szCs w:val="24"/>
        </w:rPr>
        <w:t>(</w:t>
      </w:r>
      <w:proofErr w:type="spellStart"/>
      <w:r w:rsidR="00D36923">
        <w:rPr>
          <w:bCs/>
          <w:szCs w:val="24"/>
        </w:rPr>
        <w:t>k</w:t>
      </w:r>
      <w:r w:rsidR="00D36923" w:rsidRPr="004244FF">
        <w:rPr>
          <w:bCs/>
          <w:szCs w:val="24"/>
          <w:vertAlign w:val="subscript"/>
        </w:rPr>
        <w:t>cost</w:t>
      </w:r>
      <w:proofErr w:type="spellEnd"/>
      <w:r w:rsidR="00D36923">
        <w:rPr>
          <w:bCs/>
          <w:szCs w:val="24"/>
        </w:rPr>
        <w:t>)</w:t>
      </w:r>
      <w:r w:rsidRPr="00FC3E0A">
        <w:rPr>
          <w:bCs/>
          <w:szCs w:val="24"/>
        </w:rPr>
        <w:t xml:space="preserve"> from SOX </w:t>
      </w:r>
      <w:r w:rsidR="00AB0E06">
        <w:rPr>
          <w:bCs/>
          <w:szCs w:val="24"/>
        </w:rPr>
        <w:t>on</w:t>
      </w:r>
      <w:r w:rsidRPr="00FC3E0A">
        <w:rPr>
          <w:bCs/>
          <w:szCs w:val="24"/>
        </w:rPr>
        <w:t xml:space="preserve"> the Caxiuanã forest simulation </w:t>
      </w:r>
      <w:r w:rsidR="00AB0E06">
        <w:rPr>
          <w:bCs/>
          <w:szCs w:val="24"/>
        </w:rPr>
        <w:t>of</w:t>
      </w:r>
      <w:r w:rsidRPr="00FC3E0A">
        <w:rPr>
          <w:bCs/>
          <w:szCs w:val="24"/>
        </w:rPr>
        <w:t xml:space="preserve"> the control (</w:t>
      </w:r>
      <w:r w:rsidRPr="00FC3E0A">
        <w:rPr>
          <w:bCs/>
          <w:i/>
          <w:szCs w:val="24"/>
        </w:rPr>
        <w:t>a</w:t>
      </w:r>
      <w:r w:rsidRPr="00FC3E0A">
        <w:rPr>
          <w:bCs/>
          <w:szCs w:val="24"/>
        </w:rPr>
        <w:t xml:space="preserve">) and throughfall exclusion (TFE, </w:t>
      </w:r>
      <w:r w:rsidRPr="00FC3E0A">
        <w:rPr>
          <w:bCs/>
          <w:i/>
          <w:szCs w:val="24"/>
        </w:rPr>
        <w:t>b</w:t>
      </w:r>
      <w:r w:rsidRPr="00FC3E0A">
        <w:rPr>
          <w:bCs/>
          <w:szCs w:val="24"/>
        </w:rPr>
        <w:t xml:space="preserve">) plots. </w:t>
      </w:r>
      <w:r w:rsidR="0087149B">
        <w:rPr>
          <w:bCs/>
          <w:szCs w:val="24"/>
        </w:rPr>
        <w:t>The dark red line is the SOX with the s</w:t>
      </w:r>
      <w:r w:rsidR="00584F59">
        <w:rPr>
          <w:bCs/>
          <w:szCs w:val="24"/>
        </w:rPr>
        <w:t>hape</w:t>
      </w:r>
      <w:r w:rsidR="0087149B">
        <w:rPr>
          <w:bCs/>
          <w:szCs w:val="24"/>
        </w:rPr>
        <w:t xml:space="preserve"> of the vulnerability curve </w:t>
      </w:r>
      <w:r w:rsidR="00584F59">
        <w:rPr>
          <w:bCs/>
          <w:szCs w:val="24"/>
        </w:rPr>
        <w:t>(</w:t>
      </w:r>
      <w:r w:rsidR="0087149B" w:rsidRPr="004244FF">
        <w:rPr>
          <w:bCs/>
          <w:i/>
          <w:szCs w:val="24"/>
        </w:rPr>
        <w:t>a</w:t>
      </w:r>
      <w:r w:rsidR="00584F59">
        <w:rPr>
          <w:bCs/>
          <w:szCs w:val="24"/>
        </w:rPr>
        <w:t>)</w:t>
      </w:r>
      <w:r w:rsidR="006D3019">
        <w:rPr>
          <w:bCs/>
          <w:szCs w:val="24"/>
        </w:rPr>
        <w:t xml:space="preserve"> </w:t>
      </w:r>
      <w:r w:rsidR="0087149B">
        <w:rPr>
          <w:bCs/>
          <w:szCs w:val="24"/>
        </w:rPr>
        <w:t xml:space="preserve">optimised for each plot, whereas the light red line is the SOX with a single </w:t>
      </w:r>
      <w:proofErr w:type="spellStart"/>
      <w:r w:rsidR="00584F59" w:rsidRPr="004244FF">
        <w:rPr>
          <w:bCs/>
          <w:i/>
          <w:szCs w:val="24"/>
        </w:rPr>
        <w:t>a</w:t>
      </w:r>
      <w:proofErr w:type="spellEnd"/>
      <w:r w:rsidR="0087149B">
        <w:rPr>
          <w:bCs/>
          <w:szCs w:val="24"/>
        </w:rPr>
        <w:t xml:space="preserve"> </w:t>
      </w:r>
      <w:r w:rsidR="00584F59">
        <w:rPr>
          <w:bCs/>
          <w:szCs w:val="24"/>
        </w:rPr>
        <w:t>for both plots</w:t>
      </w:r>
      <w:r w:rsidR="00356E16">
        <w:rPr>
          <w:bCs/>
          <w:szCs w:val="24"/>
        </w:rPr>
        <w:t xml:space="preserve"> computed from the Ψ</w:t>
      </w:r>
      <w:r w:rsidR="00356E16" w:rsidRPr="004244FF">
        <w:rPr>
          <w:bCs/>
          <w:szCs w:val="24"/>
          <w:vertAlign w:val="subscript"/>
        </w:rPr>
        <w:t>50</w:t>
      </w:r>
      <w:r w:rsidR="00356E16">
        <w:rPr>
          <w:bCs/>
          <w:szCs w:val="24"/>
          <w:vertAlign w:val="subscript"/>
        </w:rPr>
        <w:t xml:space="preserve"> </w:t>
      </w:r>
      <w:r w:rsidR="00356E16">
        <w:rPr>
          <w:bCs/>
          <w:szCs w:val="24"/>
        </w:rPr>
        <w:t xml:space="preserve">following </w:t>
      </w:r>
      <w:r w:rsidR="00767ADE">
        <w:rPr>
          <w:bCs/>
          <w:szCs w:val="24"/>
        </w:rPr>
        <w:t>Christoffersen</w:t>
      </w:r>
      <w:r w:rsidR="00356E16">
        <w:rPr>
          <w:bCs/>
          <w:szCs w:val="24"/>
        </w:rPr>
        <w:t xml:space="preserve"> et al </w:t>
      </w:r>
      <w:r w:rsidR="00356E16">
        <w:rPr>
          <w:bCs/>
          <w:szCs w:val="24"/>
        </w:rPr>
        <w:fldChar w:fldCharType="begin" w:fldLock="1"/>
      </w:r>
      <w:r w:rsidR="00BC06F6">
        <w:rPr>
          <w:bCs/>
          <w:szCs w:val="24"/>
        </w:rPr>
        <w:instrText>ADDIN CSL_CITATION {"citationItems":[{"id":"ITEM-1","itemData":{"DOI":"10.5194/gmd-9-4227-2016","ISBN":"1991-962X","ISSN":"19919603","abstract":"&lt;p&gt;Forest ecosystem models based on heuristic water stress functions poorly predict tropical forest response to drought because they do not capture the diversity of hydraulic traits (including variation in tree size) observed in tropical forests. We developed a Richards’ equation-based model of plant hydraulics in which all parameters of its constitutive equations are biologically-interpretable and measureable plant hydraulic traits (e.g., turgor loss point π&lt;sub&gt;&lt;i&gt;tlp&lt;/i&gt;&lt;/sub&gt;, bulk elastic modulus ε, hydraulic capacitance &lt;i&gt;C&lt;sub&gt;ft&lt;/sub&gt;&lt;/i&gt;, xylem hydraulic conductivity &lt;i&gt;k&lt;sub&gt;s,max&lt;/sub&gt;&lt;/i&gt;, water potential at 50 % loss of conductivity for both xylem (&lt;i&gt;P&lt;/i&gt;&lt;sub&gt;50,&lt;i&gt;x&lt;/i&gt;&lt;/sub&gt;) and stomata (&lt;i&gt;P&lt;/i&gt;&lt;sub&gt;50,&lt;i&gt;gs&lt;/i&gt;&lt;/sub&gt;), and the leaf:sapwood area ratio &lt;i&gt;A&lt;sub&gt;l&lt;/sub&gt;&lt;/i&gt;:&lt;i&gt;A&lt;sub&gt;s&lt;/sub&gt;&lt;/i&gt;). We embedded this plant hydraulics model within a forest simulator (TFS) that modeled individual tree light environments and their upper boundary condition (transpiration) as well as provided a means for parameterizing individual variation in hydraulic traits. We synthesized literature and existing databases to parameterize all hydraulic traits as a function of stem and leaf traits wood density (&lt;i&gt;WD&lt;/i&gt;), leaf mass per area (&lt;i&gt;LMA&lt;/i&gt;) and photosynthetic capacity (&lt;i&gt;A&lt;/i&gt;&lt;sub&gt;max&lt;/sub&gt;) and evaluated the coupled model’s (TFS-Hydro) predictions against diurnal and seasonal variability in stem and leaf water potential as well as stand-scaled sap flux. &lt;br&gt;&lt;br&gt; Our hydraulic trait synthesis revealed coordination among leaf and xylem hydraulic traits and statistically significant relationships of most hydraulic traits with more easily measured plant traits. Using the most informative empirical trait-trait relationships derived from this synthesis, the TFS-Hydro model parameterization is capable of representing patterns of coordination and trade-offs in hydraulic traits. TFS-Hydro successfully captured individual variation in leaf and stem water potential due to increasing tree size and light environment, with model representation of hydraulic architecture and plant traits exerting primary and secondary controls, respectively, on the fidelity of model predictions. The plant hydraulics model made substantial improvements to simulations of total ecosystem transpiration under control conditions, but the absence of a vertically stratified soil hydrology model precluded improvements to the simulation of drought response. Remaining uncertainties and l…","author":[{"dropping-particle":"","family":"Christoffersen","given":"Bradley O.","non-dropping-particle":"","parse-names":false,"suffix":""},{"dropping-particle":"","family":"Gloor","given":"Manuel","non-dropping-particle":"","parse-names":false,"suffix":""},{"dropping-particle":"","family":"Fauset","given":"Sophie","non-dropping-particle":"","parse-names":false,"suffix":""},{"dropping-particle":"","family":"Fyllas","given":"Nikolaos M.","non-dropping-particle":"","parse-names":false,"suffix":""},{"dropping-particle":"","family":"Galbraith","given":"David R.","non-dropping-particle":"","parse-names":false,"suffix":""},{"dropping-particle":"","family":"Baker","given":"Timothy R.","non-dropping-particle":"","parse-names":false,"suffix":""},{"dropping-particle":"","family":"Kruijt","given":"Bart","non-dropping-particle":"","parse-names":false,"suffix":""},{"dropping-particle":"","family":"Rowland","given":"Lucy","non-dropping-particle":"","parse-names":false,"suffix":""},{"dropping-particle":"","family":"Fisher","given":"Rosie A.","non-dropping-particle":"","parse-names":false,"suffix":""},{"dropping-particle":"","family":"Binks","given":"Oliver J.","non-dropping-particle":"","parse-names":false,"suffix":""},{"dropping-particle":"","family":"Sevanto","given":"Sanna","non-dropping-particle":"","parse-names":false,"suffix":""},{"dropping-particle":"","family":"Xu","given":"Chonggang","non-dropping-particle":"","parse-names":false,"suffix":""},{"dropping-particle":"","family":"Jansen","given":"Steven","non-dropping-particle":"","parse-names":false,"suffix":""},{"dropping-particle":"","family":"Choat","given":"Brendan","non-dropping-particle":"","parse-names":false,"suffix":""},{"dropping-particle":"","family":"Mencuccini","given":"Maurizio","non-dropping-particle":"","parse-names":false,"suffix":""},{"dropping-particle":"","family":"McDowell","given":"Nate G.","non-dropping-particle":"","parse-names":false,"suffix":""},{"dropping-particle":"","family":"Meir","given":"Patrick","non-dropping-particle":"","parse-names":false,"suffix":""}],"container-title":"Geoscientific Model Development","id":"ITEM-1","issue":"11","issued":{"date-parts":[["2016"]]},"page":"4227-4255","title":"Linking hydraulic traits to tropical forest function in a size-structured and trait-driven model (TFS v.1-Hydro)","type":"article-journal","volume":"9"},"uris":["http://www.mendeley.com/documents/?uuid=21be82fb-be7c-4771-bd27-2f001e575a0b"]}],"mendeley":{"formattedCitation":"[7]","plainTextFormattedCitation":"[7]","previouslyFormattedCitation":"[7]"},"properties":{"noteIndex":0},"schema":"https://github.com/citation-style-language/schema/raw/master/csl-citation.json"}</w:instrText>
      </w:r>
      <w:r w:rsidR="00356E16">
        <w:rPr>
          <w:bCs/>
          <w:szCs w:val="24"/>
        </w:rPr>
        <w:fldChar w:fldCharType="separate"/>
      </w:r>
      <w:r w:rsidR="006015F6" w:rsidRPr="006015F6">
        <w:rPr>
          <w:bCs/>
          <w:noProof/>
          <w:szCs w:val="24"/>
        </w:rPr>
        <w:t>[7]</w:t>
      </w:r>
      <w:r w:rsidR="00356E16">
        <w:rPr>
          <w:bCs/>
          <w:szCs w:val="24"/>
        </w:rPr>
        <w:fldChar w:fldCharType="end"/>
      </w:r>
      <w:r w:rsidR="00356E16">
        <w:rPr>
          <w:bCs/>
          <w:szCs w:val="24"/>
        </w:rPr>
        <w:t xml:space="preserve">. </w:t>
      </w:r>
      <w:r w:rsidR="00B31FD7">
        <w:rPr>
          <w:bCs/>
          <w:szCs w:val="24"/>
        </w:rPr>
        <w:t>In the bottom panels we show t</w:t>
      </w:r>
      <w:r w:rsidRPr="00FC3E0A">
        <w:rPr>
          <w:bCs/>
          <w:szCs w:val="24"/>
        </w:rPr>
        <w:t>he minimum daily canopy</w:t>
      </w:r>
      <w:r w:rsidR="009A5E57">
        <w:rPr>
          <w:bCs/>
          <w:szCs w:val="24"/>
        </w:rPr>
        <w:t xml:space="preserve"> minus </w:t>
      </w:r>
      <w:r w:rsidR="006B7856">
        <w:rPr>
          <w:bCs/>
          <w:szCs w:val="24"/>
        </w:rPr>
        <w:t>the predawn canopy water</w:t>
      </w:r>
      <w:r w:rsidRPr="00FC3E0A">
        <w:rPr>
          <w:bCs/>
          <w:szCs w:val="24"/>
        </w:rPr>
        <w:t xml:space="preserve"> potential (</w:t>
      </w:r>
      <w:proofErr w:type="spellStart"/>
      <w:r w:rsidRPr="00FC3E0A">
        <w:rPr>
          <w:bCs/>
          <w:szCs w:val="24"/>
        </w:rPr>
        <w:t>Δ</w:t>
      </w:r>
      <w:r w:rsidR="00356E16">
        <w:rPr>
          <w:bCs/>
          <w:szCs w:val="24"/>
        </w:rPr>
        <w:t>Ψ</w:t>
      </w:r>
      <w:r w:rsidRPr="00FC3E0A">
        <w:rPr>
          <w:bCs/>
          <w:i/>
          <w:szCs w:val="24"/>
          <w:vertAlign w:val="subscript"/>
        </w:rPr>
        <w:t>c</w:t>
      </w:r>
      <w:proofErr w:type="spellEnd"/>
      <w:r w:rsidRPr="00FC3E0A">
        <w:rPr>
          <w:bCs/>
          <w:szCs w:val="24"/>
        </w:rPr>
        <w:t xml:space="preserve">) simulated </w:t>
      </w:r>
      <w:r w:rsidR="00356E16">
        <w:rPr>
          <w:bCs/>
          <w:szCs w:val="24"/>
        </w:rPr>
        <w:t>by</w:t>
      </w:r>
      <w:r w:rsidRPr="00993651">
        <w:rPr>
          <w:bCs/>
          <w:szCs w:val="24"/>
        </w:rPr>
        <w:t xml:space="preserve"> SOX</w:t>
      </w:r>
      <w:r w:rsidR="00356E16">
        <w:rPr>
          <w:bCs/>
          <w:szCs w:val="24"/>
        </w:rPr>
        <w:t xml:space="preserve"> </w:t>
      </w:r>
      <w:r w:rsidRPr="00993651">
        <w:rPr>
          <w:bCs/>
          <w:szCs w:val="24"/>
        </w:rPr>
        <w:t>at the control (</w:t>
      </w:r>
      <w:r w:rsidRPr="00993651">
        <w:rPr>
          <w:bCs/>
          <w:i/>
          <w:szCs w:val="24"/>
        </w:rPr>
        <w:t>c</w:t>
      </w:r>
      <w:r w:rsidRPr="00993651">
        <w:rPr>
          <w:bCs/>
          <w:szCs w:val="24"/>
        </w:rPr>
        <w:t>) and TFE (</w:t>
      </w:r>
      <w:r w:rsidRPr="00FC3E0A">
        <w:rPr>
          <w:bCs/>
          <w:i/>
          <w:szCs w:val="24"/>
        </w:rPr>
        <w:t>d</w:t>
      </w:r>
      <w:r w:rsidRPr="00FC3E0A">
        <w:rPr>
          <w:bCs/>
          <w:szCs w:val="24"/>
        </w:rPr>
        <w:t xml:space="preserve">) plot. The black points are the mean water potential values measured at the site (midday </w:t>
      </w:r>
      <w:proofErr w:type="spellStart"/>
      <w:r w:rsidR="00B31FD7">
        <w:rPr>
          <w:bCs/>
          <w:szCs w:val="24"/>
        </w:rPr>
        <w:t>Ψ</w:t>
      </w:r>
      <w:r w:rsidRPr="00FC3E0A">
        <w:rPr>
          <w:bCs/>
          <w:szCs w:val="24"/>
          <w:vertAlign w:val="subscript"/>
        </w:rPr>
        <w:t>c</w:t>
      </w:r>
      <w:proofErr w:type="spellEnd"/>
      <w:r w:rsidRPr="00FC3E0A">
        <w:rPr>
          <w:bCs/>
          <w:szCs w:val="24"/>
        </w:rPr>
        <w:t xml:space="preserve"> – predawn </w:t>
      </w:r>
      <w:proofErr w:type="spellStart"/>
      <w:r w:rsidR="00B31FD7">
        <w:rPr>
          <w:bCs/>
          <w:szCs w:val="24"/>
        </w:rPr>
        <w:t>Ψ</w:t>
      </w:r>
      <w:r w:rsidRPr="00FC3E0A">
        <w:rPr>
          <w:bCs/>
          <w:szCs w:val="24"/>
          <w:vertAlign w:val="subscript"/>
        </w:rPr>
        <w:t>c</w:t>
      </w:r>
      <w:proofErr w:type="spellEnd"/>
      <w:r w:rsidRPr="0071509E">
        <w:rPr>
          <w:bCs/>
          <w:szCs w:val="24"/>
        </w:rPr>
        <w:t xml:space="preserve">) and the bars are 2 x standard errors.    </w:t>
      </w:r>
    </w:p>
    <w:p w14:paraId="2C8C729A" w14:textId="77777777" w:rsidR="0026050A" w:rsidRDefault="0026050A" w:rsidP="00440A85">
      <w:pPr>
        <w:spacing w:line="360" w:lineRule="auto"/>
        <w:jc w:val="both"/>
        <w:rPr>
          <w:b/>
          <w:bCs/>
          <w:szCs w:val="24"/>
        </w:rPr>
      </w:pPr>
    </w:p>
    <w:p w14:paraId="0468509C" w14:textId="77777777" w:rsidR="0026050A" w:rsidRDefault="0026050A" w:rsidP="00440A85">
      <w:pPr>
        <w:spacing w:line="360" w:lineRule="auto"/>
        <w:jc w:val="both"/>
        <w:rPr>
          <w:b/>
          <w:bCs/>
          <w:szCs w:val="24"/>
        </w:rPr>
      </w:pPr>
    </w:p>
    <w:p w14:paraId="7D50CA8F" w14:textId="77777777" w:rsidR="000103B3" w:rsidRDefault="000103B3" w:rsidP="000103B3">
      <w:pPr>
        <w:spacing w:line="360" w:lineRule="auto"/>
        <w:jc w:val="center"/>
        <w:rPr>
          <w:b/>
          <w:bCs/>
          <w:szCs w:val="24"/>
        </w:rPr>
      </w:pPr>
      <w:r>
        <w:rPr>
          <w:b/>
          <w:bCs/>
          <w:noProof/>
          <w:szCs w:val="24"/>
        </w:rPr>
        <w:lastRenderedPageBreak/>
        <w:drawing>
          <wp:inline distT="0" distB="0" distL="0" distR="0" wp14:anchorId="5154071B" wp14:editId="1FA17585">
            <wp:extent cx="6012815" cy="60128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0.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2815" cy="6012815"/>
                    </a:xfrm>
                    <a:prstGeom prst="rect">
                      <a:avLst/>
                    </a:prstGeom>
                  </pic:spPr>
                </pic:pic>
              </a:graphicData>
            </a:graphic>
          </wp:inline>
        </w:drawing>
      </w:r>
    </w:p>
    <w:p w14:paraId="1F77C883" w14:textId="0B887C07" w:rsidR="000103B3" w:rsidRDefault="000103B3" w:rsidP="000103B3">
      <w:pPr>
        <w:spacing w:line="360" w:lineRule="auto"/>
        <w:jc w:val="both"/>
        <w:rPr>
          <w:bCs/>
          <w:szCs w:val="24"/>
        </w:rPr>
      </w:pPr>
      <w:r w:rsidRPr="00993651">
        <w:rPr>
          <w:b/>
          <w:bCs/>
          <w:szCs w:val="24"/>
        </w:rPr>
        <w:t>Figure S</w:t>
      </w:r>
      <w:r>
        <w:rPr>
          <w:b/>
          <w:bCs/>
          <w:szCs w:val="24"/>
        </w:rPr>
        <w:t>9</w:t>
      </w:r>
      <w:r>
        <w:rPr>
          <w:b/>
          <w:bCs/>
          <w:szCs w:val="24"/>
        </w:rPr>
        <w:t xml:space="preserve">. </w:t>
      </w:r>
      <w:r w:rsidRPr="004244FF">
        <w:rPr>
          <w:bCs/>
          <w:szCs w:val="24"/>
        </w:rPr>
        <w:t>Anomal</w:t>
      </w:r>
      <w:r>
        <w:rPr>
          <w:bCs/>
          <w:szCs w:val="24"/>
        </w:rPr>
        <w:t>ies in air temperature (T</w:t>
      </w:r>
      <w:r w:rsidRPr="008B215A">
        <w:rPr>
          <w:bCs/>
          <w:szCs w:val="24"/>
          <w:vertAlign w:val="subscript"/>
        </w:rPr>
        <w:t>a</w:t>
      </w:r>
      <w:r>
        <w:rPr>
          <w:bCs/>
          <w:szCs w:val="24"/>
        </w:rPr>
        <w:t>) vapour pressure deficit (</w:t>
      </w:r>
      <w:r w:rsidRPr="008B215A">
        <w:rPr>
          <w:bCs/>
          <w:i/>
          <w:szCs w:val="24"/>
        </w:rPr>
        <w:t>D</w:t>
      </w:r>
      <w:r>
        <w:rPr>
          <w:bCs/>
          <w:szCs w:val="24"/>
        </w:rPr>
        <w:t>) and soil water potential (</w:t>
      </w:r>
      <w:proofErr w:type="spellStart"/>
      <w:r>
        <w:rPr>
          <w:bCs/>
          <w:szCs w:val="24"/>
        </w:rPr>
        <w:t>Ψ</w:t>
      </w:r>
      <w:r w:rsidRPr="008B215A">
        <w:rPr>
          <w:bCs/>
          <w:szCs w:val="24"/>
          <w:vertAlign w:val="subscript"/>
        </w:rPr>
        <w:t>s</w:t>
      </w:r>
      <w:proofErr w:type="spellEnd"/>
      <w:r>
        <w:rPr>
          <w:bCs/>
          <w:szCs w:val="24"/>
        </w:rPr>
        <w:t>)</w:t>
      </w:r>
      <w:r w:rsidRPr="004244FF">
        <w:rPr>
          <w:bCs/>
          <w:szCs w:val="24"/>
        </w:rPr>
        <w:t xml:space="preserve"> </w:t>
      </w:r>
      <w:r>
        <w:rPr>
          <w:bCs/>
          <w:szCs w:val="24"/>
        </w:rPr>
        <w:t xml:space="preserve">at each study site, </w:t>
      </w:r>
      <w:r>
        <w:rPr>
          <w:szCs w:val="24"/>
        </w:rPr>
        <w:t xml:space="preserve">Caxiuanã (CAX), Tapajos (TAP) and Manaus (MAN). The black bars are the mean anomalies (i.e. difference between annual mean of each year </w:t>
      </w:r>
      <w:r>
        <w:rPr>
          <w:bCs/>
          <w:szCs w:val="24"/>
        </w:rPr>
        <w:t>and the mean of the entire dataset), the red bars are the maximum anomalies calculated as the difference between the T</w:t>
      </w:r>
      <w:r w:rsidRPr="00586D55">
        <w:rPr>
          <w:bCs/>
          <w:szCs w:val="24"/>
          <w:vertAlign w:val="subscript"/>
        </w:rPr>
        <w:t>a</w:t>
      </w:r>
      <w:r>
        <w:rPr>
          <w:bCs/>
          <w:szCs w:val="24"/>
        </w:rPr>
        <w:t xml:space="preserve"> and D and minimum </w:t>
      </w:r>
      <w:proofErr w:type="spellStart"/>
      <w:r>
        <w:rPr>
          <w:bCs/>
          <w:szCs w:val="24"/>
        </w:rPr>
        <w:t>Ψ</w:t>
      </w:r>
      <w:r w:rsidRPr="008B215A">
        <w:rPr>
          <w:bCs/>
          <w:szCs w:val="24"/>
          <w:vertAlign w:val="subscript"/>
        </w:rPr>
        <w:t>s</w:t>
      </w:r>
      <w:proofErr w:type="spellEnd"/>
      <w:r>
        <w:rPr>
          <w:bCs/>
          <w:szCs w:val="24"/>
          <w:vertAlign w:val="subscript"/>
        </w:rPr>
        <w:t xml:space="preserve"> </w:t>
      </w:r>
      <w:r>
        <w:rPr>
          <w:bCs/>
          <w:szCs w:val="24"/>
        </w:rPr>
        <w:t>of each year and the maximum T</w:t>
      </w:r>
      <w:r w:rsidRPr="00586D55">
        <w:rPr>
          <w:bCs/>
          <w:szCs w:val="24"/>
          <w:vertAlign w:val="subscript"/>
        </w:rPr>
        <w:t>a</w:t>
      </w:r>
      <w:r>
        <w:rPr>
          <w:bCs/>
          <w:szCs w:val="24"/>
        </w:rPr>
        <w:t xml:space="preserve"> and </w:t>
      </w:r>
      <w:r w:rsidRPr="00586D55">
        <w:rPr>
          <w:bCs/>
          <w:i/>
          <w:szCs w:val="24"/>
        </w:rPr>
        <w:t>D</w:t>
      </w:r>
      <w:r>
        <w:rPr>
          <w:bCs/>
          <w:szCs w:val="24"/>
        </w:rPr>
        <w:t xml:space="preserve"> and minimum </w:t>
      </w:r>
      <w:proofErr w:type="spellStart"/>
      <w:r>
        <w:rPr>
          <w:bCs/>
          <w:szCs w:val="24"/>
        </w:rPr>
        <w:t>Ψ</w:t>
      </w:r>
      <w:r w:rsidRPr="008B215A">
        <w:rPr>
          <w:bCs/>
          <w:szCs w:val="24"/>
          <w:vertAlign w:val="subscript"/>
        </w:rPr>
        <w:t>s</w:t>
      </w:r>
      <w:proofErr w:type="spellEnd"/>
      <w:r>
        <w:rPr>
          <w:bCs/>
          <w:szCs w:val="24"/>
          <w:vertAlign w:val="subscript"/>
        </w:rPr>
        <w:t xml:space="preserve"> </w:t>
      </w:r>
      <w:r>
        <w:rPr>
          <w:bCs/>
          <w:szCs w:val="24"/>
        </w:rPr>
        <w:t>of a year without climatic anomalies (i.e. the data used to drive Sim4 showed in Fig. S5).</w:t>
      </w:r>
    </w:p>
    <w:p w14:paraId="3593AC96" w14:textId="77777777" w:rsidR="000103B3" w:rsidRDefault="000103B3" w:rsidP="00440A85">
      <w:pPr>
        <w:spacing w:line="360" w:lineRule="auto"/>
        <w:jc w:val="both"/>
        <w:rPr>
          <w:b/>
          <w:bCs/>
          <w:szCs w:val="24"/>
        </w:rPr>
      </w:pPr>
    </w:p>
    <w:p w14:paraId="26D180A9" w14:textId="594A793E" w:rsidR="00805E82" w:rsidRDefault="000831CF" w:rsidP="004244FF">
      <w:pPr>
        <w:spacing w:line="360" w:lineRule="auto"/>
        <w:jc w:val="center"/>
        <w:rPr>
          <w:b/>
          <w:bCs/>
          <w:szCs w:val="24"/>
        </w:rPr>
      </w:pPr>
      <w:r>
        <w:rPr>
          <w:b/>
          <w:bCs/>
          <w:noProof/>
          <w:szCs w:val="24"/>
        </w:rPr>
        <w:lastRenderedPageBreak/>
        <w:drawing>
          <wp:inline distT="0" distB="0" distL="0" distR="0" wp14:anchorId="191A201C" wp14:editId="721699C4">
            <wp:extent cx="2536166" cy="784538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9.tiff"/>
                    <pic:cNvPicPr/>
                  </pic:nvPicPr>
                  <pic:blipFill rotWithShape="1">
                    <a:blip r:embed="rId17" cstate="print">
                      <a:extLst>
                        <a:ext uri="{28A0092B-C50C-407E-A947-70E740481C1C}">
                          <a14:useLocalDpi xmlns:a14="http://schemas.microsoft.com/office/drawing/2010/main" val="0"/>
                        </a:ext>
                      </a:extLst>
                    </a:blip>
                    <a:srcRect l="5307" b="2359"/>
                    <a:stretch/>
                  </pic:blipFill>
                  <pic:spPr bwMode="auto">
                    <a:xfrm>
                      <a:off x="0" y="0"/>
                      <a:ext cx="2540835" cy="7859832"/>
                    </a:xfrm>
                    <a:prstGeom prst="rect">
                      <a:avLst/>
                    </a:prstGeom>
                    <a:ln>
                      <a:noFill/>
                    </a:ln>
                    <a:extLst>
                      <a:ext uri="{53640926-AAD7-44D8-BBD7-CCE9431645EC}">
                        <a14:shadowObscured xmlns:a14="http://schemas.microsoft.com/office/drawing/2010/main"/>
                      </a:ext>
                    </a:extLst>
                  </pic:spPr>
                </pic:pic>
              </a:graphicData>
            </a:graphic>
          </wp:inline>
        </w:drawing>
      </w:r>
    </w:p>
    <w:p w14:paraId="26D75CB4" w14:textId="4D56239A" w:rsidR="0026050A" w:rsidRDefault="0026050A" w:rsidP="00440A85">
      <w:pPr>
        <w:spacing w:line="360" w:lineRule="auto"/>
        <w:jc w:val="both"/>
        <w:rPr>
          <w:b/>
          <w:bCs/>
          <w:szCs w:val="24"/>
        </w:rPr>
      </w:pPr>
      <w:r w:rsidRPr="00993651">
        <w:rPr>
          <w:b/>
          <w:bCs/>
          <w:szCs w:val="24"/>
        </w:rPr>
        <w:t>Figure S</w:t>
      </w:r>
      <w:r w:rsidR="000103B3">
        <w:rPr>
          <w:b/>
          <w:bCs/>
          <w:szCs w:val="24"/>
        </w:rPr>
        <w:t>10</w:t>
      </w:r>
      <w:r>
        <w:rPr>
          <w:b/>
          <w:bCs/>
          <w:szCs w:val="24"/>
        </w:rPr>
        <w:t>.</w:t>
      </w:r>
      <w:r w:rsidR="00312C62">
        <w:rPr>
          <w:b/>
          <w:bCs/>
          <w:szCs w:val="24"/>
        </w:rPr>
        <w:t xml:space="preserve"> </w:t>
      </w:r>
      <w:r w:rsidR="00312C62" w:rsidRPr="004244FF">
        <w:rPr>
          <w:bCs/>
          <w:szCs w:val="24"/>
        </w:rPr>
        <w:t xml:space="preserve">Annual </w:t>
      </w:r>
      <w:r w:rsidR="00312C62">
        <w:rPr>
          <w:bCs/>
          <w:szCs w:val="24"/>
        </w:rPr>
        <w:t>canopy gross carbon assimilation predicted by SOX and by the β-function model (Fig. S4)</w:t>
      </w:r>
      <w:r w:rsidR="00203AF4">
        <w:rPr>
          <w:bCs/>
          <w:szCs w:val="24"/>
        </w:rPr>
        <w:t xml:space="preserve"> using the default </w:t>
      </w:r>
      <w:r w:rsidR="00A56AB7" w:rsidRPr="004C263C">
        <w:rPr>
          <w:szCs w:val="24"/>
        </w:rPr>
        <w:t>CRU-NCEP dataset</w:t>
      </w:r>
      <w:r w:rsidR="00A56AB7">
        <w:rPr>
          <w:szCs w:val="24"/>
        </w:rPr>
        <w:t xml:space="preserve"> (</w:t>
      </w:r>
      <w:r w:rsidR="00203AF4">
        <w:rPr>
          <w:bCs/>
          <w:szCs w:val="24"/>
        </w:rPr>
        <w:t>Sim1</w:t>
      </w:r>
      <w:r w:rsidR="00A56AB7">
        <w:rPr>
          <w:bCs/>
          <w:szCs w:val="24"/>
        </w:rPr>
        <w:t>)</w:t>
      </w:r>
      <w:r w:rsidR="00203AF4">
        <w:rPr>
          <w:bCs/>
          <w:szCs w:val="24"/>
        </w:rPr>
        <w:t xml:space="preserve"> and </w:t>
      </w:r>
      <w:r w:rsidR="00A56AB7">
        <w:rPr>
          <w:bCs/>
          <w:szCs w:val="24"/>
        </w:rPr>
        <w:t>the driving data without climatic anomalies (</w:t>
      </w:r>
      <w:r w:rsidR="00203AF4">
        <w:rPr>
          <w:bCs/>
          <w:szCs w:val="24"/>
        </w:rPr>
        <w:t>Sim4</w:t>
      </w:r>
      <w:r w:rsidR="00A56AB7">
        <w:rPr>
          <w:bCs/>
          <w:szCs w:val="24"/>
        </w:rPr>
        <w:t>)</w:t>
      </w:r>
      <w:r w:rsidR="0063328C">
        <w:rPr>
          <w:bCs/>
          <w:szCs w:val="24"/>
        </w:rPr>
        <w:t xml:space="preserve"> </w:t>
      </w:r>
      <w:r w:rsidR="0063328C">
        <w:rPr>
          <w:szCs w:val="24"/>
        </w:rPr>
        <w:t>for the three sites used in this study, Caxiuanã (CAX), Tapajos (TAP) and Manaus (MAN). The grey bars a</w:t>
      </w:r>
      <w:r w:rsidR="00E87471">
        <w:rPr>
          <w:szCs w:val="24"/>
        </w:rPr>
        <w:t>re the interval of</w:t>
      </w:r>
      <w:r w:rsidR="0063328C">
        <w:rPr>
          <w:szCs w:val="24"/>
        </w:rPr>
        <w:t xml:space="preserve"> </w:t>
      </w:r>
      <w:r w:rsidR="00C22BED">
        <w:rPr>
          <w:szCs w:val="24"/>
        </w:rPr>
        <w:t xml:space="preserve">annual GPP values derived from eddy </w:t>
      </w:r>
      <w:r w:rsidR="007E7183">
        <w:rPr>
          <w:szCs w:val="24"/>
        </w:rPr>
        <w:t>f</w:t>
      </w:r>
      <w:r w:rsidR="00C22BED">
        <w:rPr>
          <w:szCs w:val="24"/>
        </w:rPr>
        <w:t>lux measurements</w:t>
      </w:r>
      <w:r w:rsidR="00D67EEB">
        <w:rPr>
          <w:szCs w:val="24"/>
        </w:rPr>
        <w:t xml:space="preserve"> taken from </w:t>
      </w:r>
      <w:proofErr w:type="spellStart"/>
      <w:r w:rsidR="00C22BED">
        <w:rPr>
          <w:szCs w:val="24"/>
        </w:rPr>
        <w:t>Malhi</w:t>
      </w:r>
      <w:proofErr w:type="spellEnd"/>
      <w:r w:rsidR="00C22BED">
        <w:rPr>
          <w:szCs w:val="24"/>
        </w:rPr>
        <w:t xml:space="preserve"> et al </w:t>
      </w:r>
      <w:r w:rsidR="004244FF">
        <w:rPr>
          <w:szCs w:val="24"/>
        </w:rPr>
        <w:fldChar w:fldCharType="begin" w:fldLock="1"/>
      </w:r>
      <w:r w:rsidR="00BC06F6">
        <w:rPr>
          <w:szCs w:val="24"/>
        </w:rPr>
        <w:instrText>ADDIN CSL_CITATION {"citationItems":[{"id":"ITEM-1","itemData":{"DOI":"10.1111/j.1365-2486.2008.01780.x","ISBN":"1354-1013","ISSN":"13541013","abstract":"The allocation and cycling of carbon (C) within forests is an important component of the biospheric C cycle, but is particularly understudied within tropical forests. We synthesise reported and unpublished results from three lowland rainforest sites in Amazonia (in the regions of Manaus, Tapajo's and Caxiuana~), all major sites of the Large-Scale Biosphere- Atmosphere Programme (LBA). We attempt a comprehensive synthesis of the C stocks, nutrient status and, particularly, the allocation and internal C dynamics of all three sites. The calculated net primary productivities (NPP) are 10.1 1.4MgCha1 yr1 (Manaus), 14.4 1.3MgCha1 yr1 (Tapajo's) and 10.0 1.2MgCha1 yr1 (Caxiuana~). All errors bars report standard errors. Soil and leaf nutrient analyses indicate that Tapajo's has significantly more plant-available phosphorus and calcium. Autotrophic respiration at all three sites (14.9-21.4MgCha yr1) is more challenging to measure, with the largest component and greatest source of uncertainty being leaf dark respiration. Comparison of measured soil respiration with that predicted from C cycling measurements provides an independent constraint. It shows general good agreement at all three sites, with perhaps some evidence for measured soil respiration being less than expected. Twenty to thirty percent of fixed C is allocated belowground. Comparison of gross primary productivity (GPP), derived from ecosystem flux measurements with that derived from component studies (NPP plus autotrophic respiration) provides an additional crosscheck. The two approaches are in good agreement, giving increased confidence in both approaches to estimating GPP. The ecosystem carbon-use efficiency (CUEs), the ratio of NPP to GPP, is similar at Manaus (0.34 0.10) and Caxiuana~ (0.32 0.07), butmay be higher at Tapajo's (0.49 0.16), although the difference is not significant. Old growth or infertile tropical forests may have low CUE compared with recently disturbed and/or fertile forests","author":[{"dropping-particle":"","family":"Malhi","given":"Yadvinder","non-dropping-particle":"","parse-names":false,"suffix":""},{"dropping-particle":"","family":"Aragão","given":"Luiz Eduardo O.C.","non-dropping-particle":"","parse-names":false,"suffix":""},{"dropping-particle":"","family":"Metcalfe","given":"Daniel B.","non-dropping-particle":"","parse-names":false,"suffix":""},{"dropping-particle":"","family":"Paiva","given":"Romilda","non-dropping-particle":"","parse-names":false,"suffix":""},{"dropping-particle":"","family":"Quesada","given":"Carlos A.","non-dropping-particle":"","parse-names":false,"suffix":""},{"dropping-particle":"","family":"Almeida","given":"Samuel","non-dropping-particle":"","parse-names":false,"suffix":""},{"dropping-particle":"","family":"Anderson","given":"Liana","non-dropping-particle":"","parse-names":false,"suffix":""},{"dropping-particle":"","family":"Brando","given":"Paulo","non-dropping-particle":"","parse-names":false,"suffix":""},{"dropping-particle":"","family":"Chambers","given":"Jeffrey Q.","non-dropping-particle":"","parse-names":false,"suffix":""},{"dropping-particle":"","family":"Costa","given":"Antonio C.L.","non-dropping-particle":"da","parse-names":false,"suffix":""},{"dropping-particle":"","family":"Hutyra","given":"Lucy R.","non-dropping-particle":"","parse-names":false,"suffix":""},{"dropping-particle":"","family":"Oliveira","given":"Paulo","non-dropping-particle":"","parse-names":false,"suffix":""},{"dropping-particle":"","family":"Patiño","given":"Sandra","non-dropping-particle":"","parse-names":false,"suffix":""},{"dropping-particle":"","family":"Pyle","given":"Elizabeth H.","non-dropping-particle":"","parse-names":false,"suffix":""},{"dropping-particle":"","family":"Robertson","given":"Amanda L.","non-dropping-particle":"","parse-names":false,"suffix":""},{"dropping-particle":"","family":"Teixeira","given":"Lilliane M.","non-dropping-particle":"","parse-names":false,"suffix":""}],"container-title":"Global Change Biology","id":"ITEM-1","issue":"5","issued":{"date-parts":[["2009"]]},"page":"1255-1274","title":"Comprehensive assessment of carbon productivity, allocation and storage in three Amazonian forests","type":"article-journal","volume":"15"},"uris":["http://www.mendeley.com/documents/?uuid=5de61e3e-26bf-40cf-accc-865f950db058"]}],"mendeley":{"formattedCitation":"[21]","plainTextFormattedCitation":"[21]","previouslyFormattedCitation":"[21]"},"properties":{"noteIndex":0},"schema":"https://github.com/citation-style-language/schema/raw/master/csl-citation.json"}</w:instrText>
      </w:r>
      <w:r w:rsidR="004244FF">
        <w:rPr>
          <w:szCs w:val="24"/>
        </w:rPr>
        <w:fldChar w:fldCharType="separate"/>
      </w:r>
      <w:r w:rsidR="006015F6" w:rsidRPr="006015F6">
        <w:rPr>
          <w:noProof/>
          <w:szCs w:val="24"/>
        </w:rPr>
        <w:t>[21]</w:t>
      </w:r>
      <w:r w:rsidR="004244FF">
        <w:rPr>
          <w:szCs w:val="24"/>
        </w:rPr>
        <w:fldChar w:fldCharType="end"/>
      </w:r>
      <w:r w:rsidR="004244FF">
        <w:rPr>
          <w:szCs w:val="24"/>
        </w:rPr>
        <w:t>.</w:t>
      </w:r>
    </w:p>
    <w:p w14:paraId="3516AB73" w14:textId="74A085EC" w:rsidR="008F6391" w:rsidRDefault="00440A85" w:rsidP="00EA5F47">
      <w:pPr>
        <w:spacing w:line="360" w:lineRule="auto"/>
        <w:jc w:val="both"/>
        <w:rPr>
          <w:b/>
          <w:sz w:val="28"/>
        </w:rPr>
      </w:pPr>
      <w:r w:rsidRPr="0071509E">
        <w:rPr>
          <w:b/>
          <w:bCs/>
          <w:szCs w:val="24"/>
        </w:rPr>
        <w:lastRenderedPageBreak/>
        <w:t xml:space="preserve"> </w:t>
      </w:r>
      <w:bookmarkStart w:id="1" w:name="_GoBack"/>
      <w:bookmarkEnd w:id="1"/>
      <w:r w:rsidR="008F6391" w:rsidRPr="008F6391">
        <w:rPr>
          <w:b/>
          <w:sz w:val="28"/>
        </w:rPr>
        <w:t>References</w:t>
      </w:r>
    </w:p>
    <w:p w14:paraId="777BB5E4" w14:textId="032856E2" w:rsidR="009C423F" w:rsidRPr="009C423F" w:rsidRDefault="008F6391" w:rsidP="009C423F">
      <w:pPr>
        <w:widowControl w:val="0"/>
        <w:autoSpaceDE w:val="0"/>
        <w:autoSpaceDN w:val="0"/>
        <w:adjustRightInd w:val="0"/>
        <w:ind w:left="640" w:hanging="640"/>
        <w:rPr>
          <w:noProof/>
          <w:szCs w:val="24"/>
        </w:rPr>
      </w:pPr>
      <w:r w:rsidRPr="008F6391">
        <w:rPr>
          <w:b/>
          <w:szCs w:val="24"/>
        </w:rPr>
        <w:fldChar w:fldCharType="begin" w:fldLock="1"/>
      </w:r>
      <w:r w:rsidRPr="008F6391">
        <w:rPr>
          <w:b/>
          <w:szCs w:val="24"/>
        </w:rPr>
        <w:instrText xml:space="preserve">ADDIN Mendeley Bibliography CSL_BIBLIOGRAPHY </w:instrText>
      </w:r>
      <w:r w:rsidRPr="008F6391">
        <w:rPr>
          <w:b/>
          <w:szCs w:val="24"/>
        </w:rPr>
        <w:fldChar w:fldCharType="separate"/>
      </w:r>
      <w:r w:rsidR="009C423F" w:rsidRPr="009C423F">
        <w:rPr>
          <w:noProof/>
          <w:szCs w:val="24"/>
        </w:rPr>
        <w:t>1.</w:t>
      </w:r>
      <w:r w:rsidR="009C423F" w:rsidRPr="009C423F">
        <w:rPr>
          <w:noProof/>
          <w:szCs w:val="24"/>
        </w:rPr>
        <w:tab/>
        <w:t xml:space="preserve">Collatz GJ, Ball JT, Grivet C, Berry JA. 1991 Physiological and environmental regulation of stomatal conductance, photosynthesis and transpiration: a model that includes a laminar boundary layer. </w:t>
      </w:r>
      <w:r w:rsidR="009C423F" w:rsidRPr="009C423F">
        <w:rPr>
          <w:i/>
          <w:iCs/>
          <w:noProof/>
          <w:szCs w:val="24"/>
        </w:rPr>
        <w:t>Agric. For. Meteorol.</w:t>
      </w:r>
      <w:r w:rsidR="009C423F" w:rsidRPr="009C423F">
        <w:rPr>
          <w:noProof/>
          <w:szCs w:val="24"/>
        </w:rPr>
        <w:t xml:space="preserve"> </w:t>
      </w:r>
      <w:r w:rsidR="009C423F" w:rsidRPr="009C423F">
        <w:rPr>
          <w:b/>
          <w:bCs/>
          <w:noProof/>
          <w:szCs w:val="24"/>
        </w:rPr>
        <w:t>54</w:t>
      </w:r>
      <w:r w:rsidR="009C423F" w:rsidRPr="009C423F">
        <w:rPr>
          <w:noProof/>
          <w:szCs w:val="24"/>
        </w:rPr>
        <w:t>, 107–136. (doi:10.1016/0168-1923(91)90002-8)</w:t>
      </w:r>
    </w:p>
    <w:p w14:paraId="5FFDD733"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2.</w:t>
      </w:r>
      <w:r w:rsidRPr="009C423F">
        <w:rPr>
          <w:noProof/>
          <w:szCs w:val="24"/>
        </w:rPr>
        <w:tab/>
        <w:t xml:space="preserve">Clark DB </w:t>
      </w:r>
      <w:r w:rsidRPr="009C423F">
        <w:rPr>
          <w:i/>
          <w:iCs/>
          <w:noProof/>
          <w:szCs w:val="24"/>
        </w:rPr>
        <w:t>et al.</w:t>
      </w:r>
      <w:r w:rsidRPr="009C423F">
        <w:rPr>
          <w:noProof/>
          <w:szCs w:val="24"/>
        </w:rPr>
        <w:t xml:space="preserve"> 2011 The Joint UK Land Environment Simulator (JULES), Model description – Part 2: Carbon fluxes and vegetation. </w:t>
      </w:r>
      <w:r w:rsidRPr="009C423F">
        <w:rPr>
          <w:i/>
          <w:iCs/>
          <w:noProof/>
          <w:szCs w:val="24"/>
        </w:rPr>
        <w:t>Geosci. Model Dev. Discuss.</w:t>
      </w:r>
      <w:r w:rsidRPr="009C423F">
        <w:rPr>
          <w:noProof/>
          <w:szCs w:val="24"/>
        </w:rPr>
        <w:t xml:space="preserve"> </w:t>
      </w:r>
      <w:r w:rsidRPr="009C423F">
        <w:rPr>
          <w:b/>
          <w:bCs/>
          <w:noProof/>
          <w:szCs w:val="24"/>
        </w:rPr>
        <w:t>4</w:t>
      </w:r>
      <w:r w:rsidRPr="009C423F">
        <w:rPr>
          <w:noProof/>
          <w:szCs w:val="24"/>
        </w:rPr>
        <w:t>, 641–688. (doi:10.5194/gmdd-4-641-2011)</w:t>
      </w:r>
    </w:p>
    <w:p w14:paraId="2835A49B"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3.</w:t>
      </w:r>
      <w:r w:rsidRPr="009C423F">
        <w:rPr>
          <w:noProof/>
          <w:szCs w:val="24"/>
        </w:rPr>
        <w:tab/>
        <w:t xml:space="preserve">Sperry JS, Venturas MD, Anderegg WRL, Mencuccini M, Mackay DS, Wang Y, Love DM. 2017 Predicting stomatal responses to the environment from the optimization of photosynthetic gain and hydraulic cost. </w:t>
      </w:r>
      <w:r w:rsidRPr="009C423F">
        <w:rPr>
          <w:i/>
          <w:iCs/>
          <w:noProof/>
          <w:szCs w:val="24"/>
        </w:rPr>
        <w:t>Plant. Cell Environ.</w:t>
      </w:r>
      <w:r w:rsidRPr="009C423F">
        <w:rPr>
          <w:noProof/>
          <w:szCs w:val="24"/>
        </w:rPr>
        <w:t xml:space="preserve"> </w:t>
      </w:r>
      <w:r w:rsidRPr="009C423F">
        <w:rPr>
          <w:b/>
          <w:bCs/>
          <w:noProof/>
          <w:szCs w:val="24"/>
        </w:rPr>
        <w:t>40</w:t>
      </w:r>
      <w:r w:rsidRPr="009C423F">
        <w:rPr>
          <w:noProof/>
          <w:szCs w:val="24"/>
        </w:rPr>
        <w:t>, 816–830.</w:t>
      </w:r>
    </w:p>
    <w:p w14:paraId="2CF8A96C"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4.</w:t>
      </w:r>
      <w:r w:rsidRPr="009C423F">
        <w:rPr>
          <w:noProof/>
          <w:szCs w:val="24"/>
        </w:rPr>
        <w:tab/>
        <w:t xml:space="preserve">Clapp RB, Hornberger GM. 1978 Empirical equations for some soil hydraulic properties. </w:t>
      </w:r>
      <w:r w:rsidRPr="009C423F">
        <w:rPr>
          <w:i/>
          <w:iCs/>
          <w:noProof/>
          <w:szCs w:val="24"/>
        </w:rPr>
        <w:t>Water Resour. Res.</w:t>
      </w:r>
      <w:r w:rsidRPr="009C423F">
        <w:rPr>
          <w:noProof/>
          <w:szCs w:val="24"/>
        </w:rPr>
        <w:t xml:space="preserve"> </w:t>
      </w:r>
      <w:r w:rsidRPr="009C423F">
        <w:rPr>
          <w:b/>
          <w:bCs/>
          <w:noProof/>
          <w:szCs w:val="24"/>
        </w:rPr>
        <w:t>14</w:t>
      </w:r>
      <w:r w:rsidRPr="009C423F">
        <w:rPr>
          <w:noProof/>
          <w:szCs w:val="24"/>
        </w:rPr>
        <w:t>, 601–604. (doi:10.1029/WR014i004p00601)</w:t>
      </w:r>
    </w:p>
    <w:p w14:paraId="5A886947"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5.</w:t>
      </w:r>
      <w:r w:rsidRPr="009C423F">
        <w:rPr>
          <w:noProof/>
          <w:szCs w:val="24"/>
        </w:rPr>
        <w:tab/>
        <w:t xml:space="preserve">Best MJ </w:t>
      </w:r>
      <w:r w:rsidRPr="009C423F">
        <w:rPr>
          <w:i/>
          <w:iCs/>
          <w:noProof/>
          <w:szCs w:val="24"/>
        </w:rPr>
        <w:t>et al.</w:t>
      </w:r>
      <w:r w:rsidRPr="009C423F">
        <w:rPr>
          <w:noProof/>
          <w:szCs w:val="24"/>
        </w:rPr>
        <w:t xml:space="preserve"> 2011 The Joint UK Land Environment Simulator (JULES), model description–Part 1: energy and water fluxes. </w:t>
      </w:r>
      <w:r w:rsidRPr="009C423F">
        <w:rPr>
          <w:i/>
          <w:iCs/>
          <w:noProof/>
          <w:szCs w:val="24"/>
        </w:rPr>
        <w:t>Geosci. Model Dev.</w:t>
      </w:r>
      <w:r w:rsidRPr="009C423F">
        <w:rPr>
          <w:noProof/>
          <w:szCs w:val="24"/>
        </w:rPr>
        <w:t xml:space="preserve"> </w:t>
      </w:r>
      <w:r w:rsidRPr="009C423F">
        <w:rPr>
          <w:b/>
          <w:bCs/>
          <w:noProof/>
          <w:szCs w:val="24"/>
        </w:rPr>
        <w:t>4</w:t>
      </w:r>
      <w:r w:rsidRPr="009C423F">
        <w:rPr>
          <w:noProof/>
          <w:szCs w:val="24"/>
        </w:rPr>
        <w:t>, 677–699.</w:t>
      </w:r>
    </w:p>
    <w:p w14:paraId="3E3BA8DA"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6.</w:t>
      </w:r>
      <w:r w:rsidRPr="009C423F">
        <w:rPr>
          <w:noProof/>
          <w:szCs w:val="24"/>
        </w:rPr>
        <w:tab/>
        <w:t xml:space="preserve">Oleson KW </w:t>
      </w:r>
      <w:r w:rsidRPr="009C423F">
        <w:rPr>
          <w:i/>
          <w:iCs/>
          <w:noProof/>
          <w:szCs w:val="24"/>
        </w:rPr>
        <w:t>et al.</w:t>
      </w:r>
      <w:r w:rsidRPr="009C423F">
        <w:rPr>
          <w:noProof/>
          <w:szCs w:val="24"/>
        </w:rPr>
        <w:t xml:space="preserve"> 2004 Technical Description of the Community Land Model (CLM). </w:t>
      </w:r>
      <w:r w:rsidRPr="009C423F">
        <w:rPr>
          <w:i/>
          <w:iCs/>
          <w:noProof/>
          <w:szCs w:val="24"/>
        </w:rPr>
        <w:t>NCAR Tech. Note</w:t>
      </w:r>
      <w:r w:rsidRPr="009C423F">
        <w:rPr>
          <w:noProof/>
          <w:szCs w:val="24"/>
        </w:rPr>
        <w:t xml:space="preserve"> (doi:10.5065/D6N877R0)</w:t>
      </w:r>
    </w:p>
    <w:p w14:paraId="11C987CB"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7.</w:t>
      </w:r>
      <w:r w:rsidRPr="009C423F">
        <w:rPr>
          <w:noProof/>
          <w:szCs w:val="24"/>
        </w:rPr>
        <w:tab/>
        <w:t xml:space="preserve">Christoffersen BO </w:t>
      </w:r>
      <w:r w:rsidRPr="009C423F">
        <w:rPr>
          <w:i/>
          <w:iCs/>
          <w:noProof/>
          <w:szCs w:val="24"/>
        </w:rPr>
        <w:t>et al.</w:t>
      </w:r>
      <w:r w:rsidRPr="009C423F">
        <w:rPr>
          <w:noProof/>
          <w:szCs w:val="24"/>
        </w:rPr>
        <w:t xml:space="preserve"> 2016 Linking hydraulic traits to tropical forest function in a size-structured and trait-driven model (TFS v.1-Hydro). </w:t>
      </w:r>
      <w:r w:rsidRPr="009C423F">
        <w:rPr>
          <w:i/>
          <w:iCs/>
          <w:noProof/>
          <w:szCs w:val="24"/>
        </w:rPr>
        <w:t>Geosci. Model Dev.</w:t>
      </w:r>
      <w:r w:rsidRPr="009C423F">
        <w:rPr>
          <w:noProof/>
          <w:szCs w:val="24"/>
        </w:rPr>
        <w:t xml:space="preserve"> </w:t>
      </w:r>
      <w:r w:rsidRPr="009C423F">
        <w:rPr>
          <w:b/>
          <w:bCs/>
          <w:noProof/>
          <w:szCs w:val="24"/>
        </w:rPr>
        <w:t>9</w:t>
      </w:r>
      <w:r w:rsidRPr="009C423F">
        <w:rPr>
          <w:noProof/>
          <w:szCs w:val="24"/>
        </w:rPr>
        <w:t>, 4227–4255. (doi:10.5194/gmd-9-4227-2016)</w:t>
      </w:r>
    </w:p>
    <w:p w14:paraId="7B6B2CFE"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8.</w:t>
      </w:r>
      <w:r w:rsidRPr="009C423F">
        <w:rPr>
          <w:noProof/>
          <w:szCs w:val="24"/>
        </w:rPr>
        <w:tab/>
        <w:t xml:space="preserve">Friend AD. 1995 PGEN: an integrated model of leaf photosynthesis, transpiration, and conductance. </w:t>
      </w:r>
      <w:r w:rsidRPr="009C423F">
        <w:rPr>
          <w:i/>
          <w:iCs/>
          <w:noProof/>
          <w:szCs w:val="24"/>
        </w:rPr>
        <w:t>Ecol. Modell.</w:t>
      </w:r>
      <w:r w:rsidRPr="009C423F">
        <w:rPr>
          <w:noProof/>
          <w:szCs w:val="24"/>
        </w:rPr>
        <w:t xml:space="preserve"> </w:t>
      </w:r>
      <w:r w:rsidRPr="009C423F">
        <w:rPr>
          <w:b/>
          <w:bCs/>
          <w:noProof/>
          <w:szCs w:val="24"/>
        </w:rPr>
        <w:t>77</w:t>
      </w:r>
      <w:r w:rsidRPr="009C423F">
        <w:rPr>
          <w:noProof/>
          <w:szCs w:val="24"/>
        </w:rPr>
        <w:t>, 233–255. (doi:10.1016/0304-3800(93)E0082-E)</w:t>
      </w:r>
    </w:p>
    <w:p w14:paraId="59A9F998"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9.</w:t>
      </w:r>
      <w:r w:rsidRPr="009C423F">
        <w:rPr>
          <w:noProof/>
          <w:szCs w:val="24"/>
        </w:rPr>
        <w:tab/>
        <w:t>Savage VM, Bentley LP, Enquist BJ, Sperry JS, Smith DD, Reich PB, Allmen EI Von. 2010 Hydraulic trade-offs and space filling enable better predictions of vascular structure and function in plants. (doi:10.1073/pnas.1012194108/-/DCSupplemental.www.pnas.org/cgi/doi/10.1073/pnas.1012194108)</w:t>
      </w:r>
    </w:p>
    <w:p w14:paraId="68D916A8"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10.</w:t>
      </w:r>
      <w:r w:rsidRPr="009C423F">
        <w:rPr>
          <w:noProof/>
          <w:szCs w:val="24"/>
        </w:rPr>
        <w:tab/>
        <w:t xml:space="preserve">Medlyn BE </w:t>
      </w:r>
      <w:r w:rsidRPr="009C423F">
        <w:rPr>
          <w:i/>
          <w:iCs/>
          <w:noProof/>
          <w:szCs w:val="24"/>
        </w:rPr>
        <w:t>et al.</w:t>
      </w:r>
      <w:r w:rsidRPr="009C423F">
        <w:rPr>
          <w:noProof/>
          <w:szCs w:val="24"/>
        </w:rPr>
        <w:t xml:space="preserve"> 2011 Reconciling the optimal and empirical approaches to modelling stomatal conductance. </w:t>
      </w:r>
      <w:r w:rsidRPr="009C423F">
        <w:rPr>
          <w:i/>
          <w:iCs/>
          <w:noProof/>
          <w:szCs w:val="24"/>
        </w:rPr>
        <w:t>Glob. Chang. Biol.</w:t>
      </w:r>
      <w:r w:rsidRPr="009C423F">
        <w:rPr>
          <w:noProof/>
          <w:szCs w:val="24"/>
        </w:rPr>
        <w:t xml:space="preserve"> </w:t>
      </w:r>
      <w:r w:rsidRPr="009C423F">
        <w:rPr>
          <w:b/>
          <w:bCs/>
          <w:noProof/>
          <w:szCs w:val="24"/>
        </w:rPr>
        <w:t>17</w:t>
      </w:r>
      <w:r w:rsidRPr="009C423F">
        <w:rPr>
          <w:noProof/>
          <w:szCs w:val="24"/>
        </w:rPr>
        <w:t>, 2134–2144. (doi:10.1111/j.1365-2486.2010.02375.x)</w:t>
      </w:r>
    </w:p>
    <w:p w14:paraId="6B470E16"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11.</w:t>
      </w:r>
      <w:r w:rsidRPr="009C423F">
        <w:rPr>
          <w:noProof/>
          <w:szCs w:val="24"/>
        </w:rPr>
        <w:tab/>
        <w:t xml:space="preserve">Zhou S, Medlyn B, Sabaté S, Sperlich D, Colin Prentice I. 2014 Short-term water stress impacts on stomatal, mesophyll and biochemical limitations to photosynthesis differ consistently among tree species from contrasting climates. </w:t>
      </w:r>
      <w:r w:rsidRPr="009C423F">
        <w:rPr>
          <w:i/>
          <w:iCs/>
          <w:noProof/>
          <w:szCs w:val="24"/>
        </w:rPr>
        <w:t>Tree Physiol.</w:t>
      </w:r>
      <w:r w:rsidRPr="009C423F">
        <w:rPr>
          <w:noProof/>
          <w:szCs w:val="24"/>
        </w:rPr>
        <w:t xml:space="preserve"> </w:t>
      </w:r>
      <w:r w:rsidRPr="009C423F">
        <w:rPr>
          <w:b/>
          <w:bCs/>
          <w:noProof/>
          <w:szCs w:val="24"/>
        </w:rPr>
        <w:t>34</w:t>
      </w:r>
      <w:r w:rsidRPr="009C423F">
        <w:rPr>
          <w:noProof/>
          <w:szCs w:val="24"/>
        </w:rPr>
        <w:t>, 1035–1046. (doi:10.1093/treephys/tpu072)</w:t>
      </w:r>
    </w:p>
    <w:p w14:paraId="1FF440C7"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12.</w:t>
      </w:r>
      <w:r w:rsidRPr="009C423F">
        <w:rPr>
          <w:noProof/>
          <w:szCs w:val="24"/>
        </w:rPr>
        <w:tab/>
        <w:t xml:space="preserve">Zhou S, Duursma RA, Medlyn BE, Kelly JWG, Prentice IC. 2013 How should we model plant responses to drought? An analysis of stomatal and non-stomatal responses to water stress. </w:t>
      </w:r>
      <w:r w:rsidRPr="009C423F">
        <w:rPr>
          <w:i/>
          <w:iCs/>
          <w:noProof/>
          <w:szCs w:val="24"/>
        </w:rPr>
        <w:t>Agric. For. Meteorol.</w:t>
      </w:r>
      <w:r w:rsidRPr="009C423F">
        <w:rPr>
          <w:noProof/>
          <w:szCs w:val="24"/>
        </w:rPr>
        <w:t xml:space="preserve"> </w:t>
      </w:r>
      <w:r w:rsidRPr="009C423F">
        <w:rPr>
          <w:b/>
          <w:bCs/>
          <w:noProof/>
          <w:szCs w:val="24"/>
        </w:rPr>
        <w:t>182</w:t>
      </w:r>
      <w:r w:rsidRPr="009C423F">
        <w:rPr>
          <w:noProof/>
          <w:szCs w:val="24"/>
        </w:rPr>
        <w:t>–</w:t>
      </w:r>
      <w:r w:rsidRPr="009C423F">
        <w:rPr>
          <w:b/>
          <w:bCs/>
          <w:noProof/>
          <w:szCs w:val="24"/>
        </w:rPr>
        <w:t>183</w:t>
      </w:r>
      <w:r w:rsidRPr="009C423F">
        <w:rPr>
          <w:noProof/>
          <w:szCs w:val="24"/>
        </w:rPr>
        <w:t>, 204–214. (doi:10.1016/j.agrformet.2013.05.009)</w:t>
      </w:r>
    </w:p>
    <w:p w14:paraId="7865E396"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13.</w:t>
      </w:r>
      <w:r w:rsidRPr="009C423F">
        <w:rPr>
          <w:noProof/>
          <w:szCs w:val="24"/>
        </w:rPr>
        <w:tab/>
        <w:t xml:space="preserve">Rowland L </w:t>
      </w:r>
      <w:r w:rsidRPr="009C423F">
        <w:rPr>
          <w:i/>
          <w:iCs/>
          <w:noProof/>
          <w:szCs w:val="24"/>
        </w:rPr>
        <w:t>et al.</w:t>
      </w:r>
      <w:r w:rsidRPr="009C423F">
        <w:rPr>
          <w:noProof/>
          <w:szCs w:val="24"/>
        </w:rPr>
        <w:t xml:space="preserve"> 2015 After more than a decade of soil moisture deficit, tropical rainforest trees maintain photosynthetic capacity, despite increased leaf respiration. </w:t>
      </w:r>
      <w:r w:rsidRPr="009C423F">
        <w:rPr>
          <w:i/>
          <w:iCs/>
          <w:noProof/>
          <w:szCs w:val="24"/>
        </w:rPr>
        <w:t>Glob. Chang. Biol.</w:t>
      </w:r>
      <w:r w:rsidRPr="009C423F">
        <w:rPr>
          <w:noProof/>
          <w:szCs w:val="24"/>
        </w:rPr>
        <w:t xml:space="preserve"> </w:t>
      </w:r>
      <w:r w:rsidRPr="009C423F">
        <w:rPr>
          <w:b/>
          <w:bCs/>
          <w:noProof/>
          <w:szCs w:val="24"/>
        </w:rPr>
        <w:t>21</w:t>
      </w:r>
      <w:r w:rsidRPr="009C423F">
        <w:rPr>
          <w:noProof/>
          <w:szCs w:val="24"/>
        </w:rPr>
        <w:t>, 4662–4672. (doi:10.1111/gcb.13035)</w:t>
      </w:r>
    </w:p>
    <w:p w14:paraId="77D8F4C3"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14.</w:t>
      </w:r>
      <w:r w:rsidRPr="009C423F">
        <w:rPr>
          <w:noProof/>
          <w:szCs w:val="24"/>
        </w:rPr>
        <w:tab/>
        <w:t xml:space="preserve">Harper AB </w:t>
      </w:r>
      <w:r w:rsidRPr="009C423F">
        <w:rPr>
          <w:i/>
          <w:iCs/>
          <w:noProof/>
          <w:szCs w:val="24"/>
        </w:rPr>
        <w:t>et al.</w:t>
      </w:r>
      <w:r w:rsidRPr="009C423F">
        <w:rPr>
          <w:noProof/>
          <w:szCs w:val="24"/>
        </w:rPr>
        <w:t xml:space="preserve"> 2016 Improved representation of plant functional types and physiology in the Joint UK Land Environment Simulator (JULES v4.2) using plant trait information. </w:t>
      </w:r>
      <w:r w:rsidRPr="009C423F">
        <w:rPr>
          <w:i/>
          <w:iCs/>
          <w:noProof/>
          <w:szCs w:val="24"/>
        </w:rPr>
        <w:t>Geosci. Model Dev.</w:t>
      </w:r>
      <w:r w:rsidRPr="009C423F">
        <w:rPr>
          <w:noProof/>
          <w:szCs w:val="24"/>
        </w:rPr>
        <w:t xml:space="preserve"> </w:t>
      </w:r>
      <w:r w:rsidRPr="009C423F">
        <w:rPr>
          <w:b/>
          <w:bCs/>
          <w:noProof/>
          <w:szCs w:val="24"/>
        </w:rPr>
        <w:t>9</w:t>
      </w:r>
      <w:r w:rsidRPr="009C423F">
        <w:rPr>
          <w:noProof/>
          <w:szCs w:val="24"/>
        </w:rPr>
        <w:t>, 2415–2440. (doi:10.5194/gmd-9-2415-2016)</w:t>
      </w:r>
    </w:p>
    <w:p w14:paraId="5932E608"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15.</w:t>
      </w:r>
      <w:r w:rsidRPr="009C423F">
        <w:rPr>
          <w:noProof/>
          <w:szCs w:val="24"/>
        </w:rPr>
        <w:tab/>
        <w:t xml:space="preserve">Fisher RA, Williams M, da Costa AL, Malhi Y, da Costa RF, Almeida S, Meir P. 2007 The response of an Eastern Amazonian rain forest to drought stress: Results and modelling analyses from a throughfall exclusion experiment. </w:t>
      </w:r>
      <w:r w:rsidRPr="009C423F">
        <w:rPr>
          <w:i/>
          <w:iCs/>
          <w:noProof/>
          <w:szCs w:val="24"/>
        </w:rPr>
        <w:t>Glob. Chang. Biol.</w:t>
      </w:r>
      <w:r w:rsidRPr="009C423F">
        <w:rPr>
          <w:noProof/>
          <w:szCs w:val="24"/>
        </w:rPr>
        <w:t xml:space="preserve"> </w:t>
      </w:r>
      <w:r w:rsidRPr="009C423F">
        <w:rPr>
          <w:b/>
          <w:bCs/>
          <w:noProof/>
          <w:szCs w:val="24"/>
        </w:rPr>
        <w:t>13</w:t>
      </w:r>
      <w:r w:rsidRPr="009C423F">
        <w:rPr>
          <w:noProof/>
          <w:szCs w:val="24"/>
        </w:rPr>
        <w:t>, 2361–2378. (doi:10.1111/j.1365-2486.2007.01417.x)</w:t>
      </w:r>
    </w:p>
    <w:p w14:paraId="10AFB13A"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16.</w:t>
      </w:r>
      <w:r w:rsidRPr="009C423F">
        <w:rPr>
          <w:noProof/>
          <w:szCs w:val="24"/>
        </w:rPr>
        <w:tab/>
        <w:t xml:space="preserve">Carswell FE, Meir P, Wandelli E V., Bonates LCM, Kruijt B, Barbosa EM, Nobre AD, Grace J, Jarvis PG. 2000 Photosynthetic capacity in a central Amazonian rain forest. </w:t>
      </w:r>
      <w:r w:rsidRPr="009C423F">
        <w:rPr>
          <w:i/>
          <w:iCs/>
          <w:noProof/>
          <w:szCs w:val="24"/>
        </w:rPr>
        <w:t>Tree Physiol.</w:t>
      </w:r>
      <w:r w:rsidRPr="009C423F">
        <w:rPr>
          <w:noProof/>
          <w:szCs w:val="24"/>
        </w:rPr>
        <w:t xml:space="preserve"> </w:t>
      </w:r>
      <w:r w:rsidRPr="009C423F">
        <w:rPr>
          <w:b/>
          <w:bCs/>
          <w:noProof/>
          <w:szCs w:val="24"/>
        </w:rPr>
        <w:t>20</w:t>
      </w:r>
      <w:r w:rsidRPr="009C423F">
        <w:rPr>
          <w:noProof/>
          <w:szCs w:val="24"/>
        </w:rPr>
        <w:t>, 179–186. (doi:10.1093/treephys/20.3.179)</w:t>
      </w:r>
    </w:p>
    <w:p w14:paraId="3F2EBC43"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17.</w:t>
      </w:r>
      <w:r w:rsidRPr="009C423F">
        <w:rPr>
          <w:noProof/>
          <w:szCs w:val="24"/>
        </w:rPr>
        <w:tab/>
        <w:t>Wu J. 2015 How do Amazonian Tropical Forest Systems Photosynthesize under Seasonal Climatic Variability: Insights from Tropical Phenology. The University of Arizona. .</w:t>
      </w:r>
    </w:p>
    <w:p w14:paraId="7EF92709"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18.</w:t>
      </w:r>
      <w:r w:rsidRPr="009C423F">
        <w:rPr>
          <w:noProof/>
          <w:szCs w:val="24"/>
        </w:rPr>
        <w:tab/>
        <w:t xml:space="preserve">De Gonçalves LGG </w:t>
      </w:r>
      <w:r w:rsidRPr="009C423F">
        <w:rPr>
          <w:i/>
          <w:iCs/>
          <w:noProof/>
          <w:szCs w:val="24"/>
        </w:rPr>
        <w:t>et al.</w:t>
      </w:r>
      <w:r w:rsidRPr="009C423F">
        <w:rPr>
          <w:noProof/>
          <w:szCs w:val="24"/>
        </w:rPr>
        <w:t xml:space="preserve"> 2013 Overview of the large-scale biosphere-atmosphere experiment in amazonia data model intercomparison project (LBA-DMIP). </w:t>
      </w:r>
      <w:r w:rsidRPr="009C423F">
        <w:rPr>
          <w:i/>
          <w:iCs/>
          <w:noProof/>
          <w:szCs w:val="24"/>
        </w:rPr>
        <w:t>Agric. For. Meteorol.</w:t>
      </w:r>
      <w:r w:rsidRPr="009C423F">
        <w:rPr>
          <w:noProof/>
          <w:szCs w:val="24"/>
        </w:rPr>
        <w:t xml:space="preserve"> </w:t>
      </w:r>
      <w:r w:rsidRPr="009C423F">
        <w:rPr>
          <w:b/>
          <w:bCs/>
          <w:noProof/>
          <w:szCs w:val="24"/>
        </w:rPr>
        <w:t>182</w:t>
      </w:r>
      <w:r w:rsidRPr="009C423F">
        <w:rPr>
          <w:noProof/>
          <w:szCs w:val="24"/>
        </w:rPr>
        <w:t>–</w:t>
      </w:r>
      <w:r w:rsidRPr="009C423F">
        <w:rPr>
          <w:b/>
          <w:bCs/>
          <w:noProof/>
          <w:szCs w:val="24"/>
        </w:rPr>
        <w:lastRenderedPageBreak/>
        <w:t>183</w:t>
      </w:r>
      <w:r w:rsidRPr="009C423F">
        <w:rPr>
          <w:noProof/>
          <w:szCs w:val="24"/>
        </w:rPr>
        <w:t>, 111–127. (doi:10.1016/j.agrformet.2013.04.030)</w:t>
      </w:r>
    </w:p>
    <w:p w14:paraId="375B7629" w14:textId="77777777" w:rsidR="009C423F" w:rsidRPr="00F83F6D" w:rsidRDefault="009C423F" w:rsidP="009C423F">
      <w:pPr>
        <w:widowControl w:val="0"/>
        <w:autoSpaceDE w:val="0"/>
        <w:autoSpaceDN w:val="0"/>
        <w:adjustRightInd w:val="0"/>
        <w:ind w:left="640" w:hanging="640"/>
        <w:rPr>
          <w:noProof/>
          <w:szCs w:val="24"/>
          <w:lang w:val="pt-BR"/>
        </w:rPr>
      </w:pPr>
      <w:r w:rsidRPr="009C423F">
        <w:rPr>
          <w:noProof/>
          <w:szCs w:val="24"/>
        </w:rPr>
        <w:t>19.</w:t>
      </w:r>
      <w:r w:rsidRPr="009C423F">
        <w:rPr>
          <w:noProof/>
          <w:szCs w:val="24"/>
        </w:rPr>
        <w:tab/>
        <w:t xml:space="preserve">Brum M </w:t>
      </w:r>
      <w:r w:rsidRPr="009C423F">
        <w:rPr>
          <w:i/>
          <w:iCs/>
          <w:noProof/>
          <w:szCs w:val="24"/>
        </w:rPr>
        <w:t>et al.</w:t>
      </w:r>
      <w:r w:rsidRPr="009C423F">
        <w:rPr>
          <w:noProof/>
          <w:szCs w:val="24"/>
        </w:rPr>
        <w:t xml:space="preserve"> 2018 Hydrological niche segregation defines forest structure and drought tolerance strategies in a seasonal Amazon forest. </w:t>
      </w:r>
      <w:r w:rsidRPr="00F83F6D">
        <w:rPr>
          <w:i/>
          <w:iCs/>
          <w:noProof/>
          <w:szCs w:val="24"/>
          <w:lang w:val="pt-BR"/>
        </w:rPr>
        <w:t>J. Ecol.</w:t>
      </w:r>
      <w:r w:rsidRPr="00F83F6D">
        <w:rPr>
          <w:noProof/>
          <w:szCs w:val="24"/>
          <w:lang w:val="pt-BR"/>
        </w:rPr>
        <w:t xml:space="preserve"> (doi:10.1111/1365-2745.13022)</w:t>
      </w:r>
    </w:p>
    <w:p w14:paraId="4AD0E054" w14:textId="77777777" w:rsidR="009C423F" w:rsidRPr="009C423F" w:rsidRDefault="009C423F" w:rsidP="009C423F">
      <w:pPr>
        <w:widowControl w:val="0"/>
        <w:autoSpaceDE w:val="0"/>
        <w:autoSpaceDN w:val="0"/>
        <w:adjustRightInd w:val="0"/>
        <w:ind w:left="640" w:hanging="640"/>
        <w:rPr>
          <w:noProof/>
          <w:szCs w:val="24"/>
        </w:rPr>
      </w:pPr>
      <w:r w:rsidRPr="00F83F6D">
        <w:rPr>
          <w:noProof/>
          <w:szCs w:val="24"/>
          <w:lang w:val="pt-BR"/>
        </w:rPr>
        <w:t>20.</w:t>
      </w:r>
      <w:r w:rsidRPr="00F83F6D">
        <w:rPr>
          <w:noProof/>
          <w:szCs w:val="24"/>
          <w:lang w:val="pt-BR"/>
        </w:rPr>
        <w:tab/>
        <w:t xml:space="preserve">de V. Barros F. 2017 FUNCIONAMENTO HIDRÁULICO E VULNERABILIDADE À SECA DE DUAS FLORESTAS TROPICAIS. </w:t>
      </w:r>
      <w:r w:rsidRPr="009C423F">
        <w:rPr>
          <w:noProof/>
          <w:szCs w:val="24"/>
        </w:rPr>
        <w:t>University of Campinas.</w:t>
      </w:r>
    </w:p>
    <w:p w14:paraId="4A3AE3C3"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21.</w:t>
      </w:r>
      <w:r w:rsidRPr="009C423F">
        <w:rPr>
          <w:noProof/>
          <w:szCs w:val="24"/>
        </w:rPr>
        <w:tab/>
        <w:t xml:space="preserve">Malhi Y </w:t>
      </w:r>
      <w:r w:rsidRPr="009C423F">
        <w:rPr>
          <w:i/>
          <w:iCs/>
          <w:noProof/>
          <w:szCs w:val="24"/>
        </w:rPr>
        <w:t>et al.</w:t>
      </w:r>
      <w:r w:rsidRPr="009C423F">
        <w:rPr>
          <w:noProof/>
          <w:szCs w:val="24"/>
        </w:rPr>
        <w:t xml:space="preserve"> 2009 Comprehensive assessment of carbon productivity, allocation and storage in three Amazonian forests. </w:t>
      </w:r>
      <w:r w:rsidRPr="009C423F">
        <w:rPr>
          <w:i/>
          <w:iCs/>
          <w:noProof/>
          <w:szCs w:val="24"/>
        </w:rPr>
        <w:t>Glob. Chang. Biol.</w:t>
      </w:r>
      <w:r w:rsidRPr="009C423F">
        <w:rPr>
          <w:noProof/>
          <w:szCs w:val="24"/>
        </w:rPr>
        <w:t xml:space="preserve"> </w:t>
      </w:r>
      <w:r w:rsidRPr="009C423F">
        <w:rPr>
          <w:b/>
          <w:bCs/>
          <w:noProof/>
          <w:szCs w:val="24"/>
        </w:rPr>
        <w:t>15</w:t>
      </w:r>
      <w:r w:rsidRPr="009C423F">
        <w:rPr>
          <w:noProof/>
          <w:szCs w:val="24"/>
        </w:rPr>
        <w:t>, 1255–1274. (doi:10.1111/j.1365-2486.2008.01780.x)</w:t>
      </w:r>
    </w:p>
    <w:p w14:paraId="5040833C"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22.</w:t>
      </w:r>
      <w:r w:rsidRPr="009C423F">
        <w:rPr>
          <w:noProof/>
          <w:szCs w:val="24"/>
        </w:rPr>
        <w:tab/>
        <w:t xml:space="preserve">Nepstad DC. 2002 The effects of partial throughfall exclusion on canopy processes, aboveground production, and biogeochemistry of an Amazon forest. </w:t>
      </w:r>
      <w:r w:rsidRPr="009C423F">
        <w:rPr>
          <w:i/>
          <w:iCs/>
          <w:noProof/>
          <w:szCs w:val="24"/>
        </w:rPr>
        <w:t>J. Geophys. Res.</w:t>
      </w:r>
      <w:r w:rsidRPr="009C423F">
        <w:rPr>
          <w:noProof/>
          <w:szCs w:val="24"/>
        </w:rPr>
        <w:t xml:space="preserve"> </w:t>
      </w:r>
      <w:r w:rsidRPr="009C423F">
        <w:rPr>
          <w:b/>
          <w:bCs/>
          <w:noProof/>
          <w:szCs w:val="24"/>
        </w:rPr>
        <w:t>107</w:t>
      </w:r>
      <w:r w:rsidRPr="009C423F">
        <w:rPr>
          <w:noProof/>
          <w:szCs w:val="24"/>
        </w:rPr>
        <w:t>, 8085. (doi:10.1029/2001JD000360)</w:t>
      </w:r>
    </w:p>
    <w:p w14:paraId="55F77501"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23.</w:t>
      </w:r>
      <w:r w:rsidRPr="009C423F">
        <w:rPr>
          <w:noProof/>
          <w:szCs w:val="24"/>
        </w:rPr>
        <w:tab/>
        <w:t xml:space="preserve">Araújo AC. 2002 Comparative measurements of carbon dioxide fluxes from two nearby towers in a central Amazonian rainforest: The Manaus LBA site. </w:t>
      </w:r>
      <w:r w:rsidRPr="009C423F">
        <w:rPr>
          <w:i/>
          <w:iCs/>
          <w:noProof/>
          <w:szCs w:val="24"/>
        </w:rPr>
        <w:t>J. Geophys. Res.</w:t>
      </w:r>
      <w:r w:rsidRPr="009C423F">
        <w:rPr>
          <w:noProof/>
          <w:szCs w:val="24"/>
        </w:rPr>
        <w:t xml:space="preserve"> </w:t>
      </w:r>
      <w:r w:rsidRPr="009C423F">
        <w:rPr>
          <w:b/>
          <w:bCs/>
          <w:noProof/>
          <w:szCs w:val="24"/>
        </w:rPr>
        <w:t>107</w:t>
      </w:r>
      <w:r w:rsidRPr="009C423F">
        <w:rPr>
          <w:noProof/>
          <w:szCs w:val="24"/>
        </w:rPr>
        <w:t>, 8090. (doi:10.1029/2001JD000676)</w:t>
      </w:r>
    </w:p>
    <w:p w14:paraId="115089E6"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24.</w:t>
      </w:r>
      <w:r w:rsidRPr="009C423F">
        <w:rPr>
          <w:noProof/>
          <w:szCs w:val="24"/>
        </w:rPr>
        <w:tab/>
        <w:t>Jacobs C. 1994 Direct impact of atmospheric CO2 enrichment on regional transpiration. Wageningen Agricultural University.</w:t>
      </w:r>
    </w:p>
    <w:p w14:paraId="59C6EA8F" w14:textId="77777777" w:rsidR="009C423F" w:rsidRPr="009C423F" w:rsidRDefault="009C423F" w:rsidP="009C423F">
      <w:pPr>
        <w:widowControl w:val="0"/>
        <w:autoSpaceDE w:val="0"/>
        <w:autoSpaceDN w:val="0"/>
        <w:adjustRightInd w:val="0"/>
        <w:ind w:left="640" w:hanging="640"/>
        <w:rPr>
          <w:noProof/>
          <w:szCs w:val="24"/>
        </w:rPr>
      </w:pPr>
      <w:r w:rsidRPr="009C423F">
        <w:rPr>
          <w:noProof/>
          <w:szCs w:val="24"/>
        </w:rPr>
        <w:t>25.</w:t>
      </w:r>
      <w:r w:rsidRPr="009C423F">
        <w:rPr>
          <w:noProof/>
          <w:szCs w:val="24"/>
        </w:rPr>
        <w:tab/>
        <w:t xml:space="preserve">Cox PM, Huntingford C, Harding RJ. 1998 A canopy conductance and photosynthesis model for use in a GCM land surface scheme. </w:t>
      </w:r>
      <w:r w:rsidRPr="009C423F">
        <w:rPr>
          <w:i/>
          <w:iCs/>
          <w:noProof/>
          <w:szCs w:val="24"/>
        </w:rPr>
        <w:t>J. Hydrol.</w:t>
      </w:r>
      <w:r w:rsidRPr="009C423F">
        <w:rPr>
          <w:noProof/>
          <w:szCs w:val="24"/>
        </w:rPr>
        <w:t xml:space="preserve"> </w:t>
      </w:r>
      <w:r w:rsidRPr="009C423F">
        <w:rPr>
          <w:b/>
          <w:bCs/>
          <w:noProof/>
          <w:szCs w:val="24"/>
        </w:rPr>
        <w:t>212</w:t>
      </w:r>
      <w:r w:rsidRPr="009C423F">
        <w:rPr>
          <w:noProof/>
          <w:szCs w:val="24"/>
        </w:rPr>
        <w:t>–</w:t>
      </w:r>
      <w:r w:rsidRPr="009C423F">
        <w:rPr>
          <w:b/>
          <w:bCs/>
          <w:noProof/>
          <w:szCs w:val="24"/>
        </w:rPr>
        <w:t>213</w:t>
      </w:r>
      <w:r w:rsidRPr="009C423F">
        <w:rPr>
          <w:noProof/>
          <w:szCs w:val="24"/>
        </w:rPr>
        <w:t>, 79–94. (doi:10.1016/S0022-1694(98)00203-0)</w:t>
      </w:r>
    </w:p>
    <w:p w14:paraId="3F215E05" w14:textId="77777777" w:rsidR="009C423F" w:rsidRPr="009C423F" w:rsidRDefault="009C423F" w:rsidP="009C423F">
      <w:pPr>
        <w:widowControl w:val="0"/>
        <w:autoSpaceDE w:val="0"/>
        <w:autoSpaceDN w:val="0"/>
        <w:adjustRightInd w:val="0"/>
        <w:ind w:left="640" w:hanging="640"/>
        <w:rPr>
          <w:noProof/>
        </w:rPr>
      </w:pPr>
      <w:r w:rsidRPr="009C423F">
        <w:rPr>
          <w:noProof/>
          <w:szCs w:val="24"/>
        </w:rPr>
        <w:t>26.</w:t>
      </w:r>
      <w:r w:rsidRPr="009C423F">
        <w:rPr>
          <w:noProof/>
          <w:szCs w:val="24"/>
        </w:rPr>
        <w:tab/>
        <w:t xml:space="preserve">Taylor KE. 2001 Summarizing multiple aspects of model performance in a single diagram. </w:t>
      </w:r>
      <w:r w:rsidRPr="009C423F">
        <w:rPr>
          <w:i/>
          <w:iCs/>
          <w:noProof/>
          <w:szCs w:val="24"/>
        </w:rPr>
        <w:t>J. Geophys. Res. Atmos.</w:t>
      </w:r>
      <w:r w:rsidRPr="009C423F">
        <w:rPr>
          <w:noProof/>
          <w:szCs w:val="24"/>
        </w:rPr>
        <w:t xml:space="preserve"> </w:t>
      </w:r>
      <w:r w:rsidRPr="009C423F">
        <w:rPr>
          <w:b/>
          <w:bCs/>
          <w:noProof/>
          <w:szCs w:val="24"/>
        </w:rPr>
        <w:t>106</w:t>
      </w:r>
      <w:r w:rsidRPr="009C423F">
        <w:rPr>
          <w:noProof/>
          <w:szCs w:val="24"/>
        </w:rPr>
        <w:t>, 7183–7192. (doi:10.1029/2000JD900719)</w:t>
      </w:r>
    </w:p>
    <w:p w14:paraId="3516AB88" w14:textId="12FECA43" w:rsidR="008F6391" w:rsidRPr="008F6391" w:rsidRDefault="008F6391" w:rsidP="001A68B1">
      <w:pPr>
        <w:widowControl w:val="0"/>
        <w:autoSpaceDE w:val="0"/>
        <w:autoSpaceDN w:val="0"/>
        <w:adjustRightInd w:val="0"/>
        <w:ind w:left="640" w:hanging="640"/>
        <w:rPr>
          <w:b/>
          <w:szCs w:val="24"/>
        </w:rPr>
      </w:pPr>
      <w:r w:rsidRPr="008F6391">
        <w:rPr>
          <w:b/>
          <w:szCs w:val="24"/>
        </w:rPr>
        <w:fldChar w:fldCharType="end"/>
      </w:r>
    </w:p>
    <w:sectPr w:rsidR="008F6391" w:rsidRPr="008F6391" w:rsidSect="00F41430">
      <w:footerReference w:type="default" r:id="rId18"/>
      <w:footerReference w:type="first" r:id="rId19"/>
      <w:pgSz w:w="11907" w:h="16840" w:code="9"/>
      <w:pgMar w:top="960" w:right="1134" w:bottom="851" w:left="1304" w:header="340" w:footer="567" w:gutter="0"/>
      <w:pgNumType w:start="1"/>
      <w:cols w:space="397" w:equalWidth="0">
        <w:col w:w="9780"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406D2" w14:textId="77777777" w:rsidR="009F65B5" w:rsidRDefault="009F65B5">
      <w:r>
        <w:separator/>
      </w:r>
    </w:p>
  </w:endnote>
  <w:endnote w:type="continuationSeparator" w:id="0">
    <w:p w14:paraId="51D9004C" w14:textId="77777777" w:rsidR="009F65B5" w:rsidRDefault="009F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Pro-Con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381549"/>
      <w:docPartObj>
        <w:docPartGallery w:val="Page Numbers (Bottom of Page)"/>
        <w:docPartUnique/>
      </w:docPartObj>
    </w:sdtPr>
    <w:sdtEndPr>
      <w:rPr>
        <w:noProof/>
      </w:rPr>
    </w:sdtEndPr>
    <w:sdtContent>
      <w:p w14:paraId="31B3AA1E" w14:textId="02D0E514" w:rsidR="009F65B5" w:rsidRDefault="009F65B5">
        <w:pPr>
          <w:pStyle w:val="Footer"/>
        </w:pPr>
        <w:r>
          <w:fldChar w:fldCharType="begin"/>
        </w:r>
        <w:r>
          <w:instrText xml:space="preserve"> PAGE   \* MERGEFORMAT </w:instrText>
        </w:r>
        <w:r>
          <w:fldChar w:fldCharType="separate"/>
        </w:r>
        <w:r w:rsidR="00EA5F47">
          <w:rPr>
            <w:noProof/>
          </w:rPr>
          <w:t>2</w:t>
        </w:r>
        <w:r>
          <w:rPr>
            <w:noProof/>
          </w:rPr>
          <w:fldChar w:fldCharType="end"/>
        </w:r>
      </w:p>
    </w:sdtContent>
  </w:sdt>
  <w:p w14:paraId="04EC68BF" w14:textId="77777777" w:rsidR="009F65B5" w:rsidRDefault="009F65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442341"/>
      <w:docPartObj>
        <w:docPartGallery w:val="Page Numbers (Bottom of Page)"/>
        <w:docPartUnique/>
      </w:docPartObj>
    </w:sdtPr>
    <w:sdtEndPr>
      <w:rPr>
        <w:noProof/>
      </w:rPr>
    </w:sdtEndPr>
    <w:sdtContent>
      <w:p w14:paraId="6FAC220B" w14:textId="3C87FF12" w:rsidR="009F65B5" w:rsidRDefault="009F65B5">
        <w:pPr>
          <w:pStyle w:val="Footer"/>
        </w:pPr>
        <w:r>
          <w:fldChar w:fldCharType="begin"/>
        </w:r>
        <w:r>
          <w:instrText xml:space="preserve"> PAGE   \* MERGEFORMAT </w:instrText>
        </w:r>
        <w:r>
          <w:fldChar w:fldCharType="separate"/>
        </w:r>
        <w:r>
          <w:rPr>
            <w:noProof/>
          </w:rPr>
          <w:t>2</w:t>
        </w:r>
        <w:r>
          <w:rPr>
            <w:noProof/>
          </w:rPr>
          <w:fldChar w:fldCharType="end"/>
        </w:r>
      </w:p>
    </w:sdtContent>
  </w:sdt>
  <w:p w14:paraId="2C41A86D" w14:textId="77777777" w:rsidR="009F65B5" w:rsidRDefault="009F6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B693C" w14:textId="77777777" w:rsidR="009F65B5" w:rsidRDefault="009F65B5">
      <w:r>
        <w:separator/>
      </w:r>
    </w:p>
  </w:footnote>
  <w:footnote w:type="continuationSeparator" w:id="0">
    <w:p w14:paraId="570F3284" w14:textId="77777777" w:rsidR="009F65B5" w:rsidRDefault="009F6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B70DF"/>
    <w:multiLevelType w:val="hybridMultilevel"/>
    <w:tmpl w:val="CD34C9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142533"/>
    <w:multiLevelType w:val="hybridMultilevel"/>
    <w:tmpl w:val="4B487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FFF0107"/>
    <w:multiLevelType w:val="hybridMultilevel"/>
    <w:tmpl w:val="3B20CE0E"/>
    <w:lvl w:ilvl="0" w:tplc="77C09B60">
      <w:start w:val="1"/>
      <w:numFmt w:val="decimal"/>
      <w:lvlText w:val="%1."/>
      <w:lvlJc w:val="left"/>
      <w:pPr>
        <w:ind w:left="720" w:hanging="360"/>
      </w:pPr>
    </w:lvl>
    <w:lvl w:ilvl="1" w:tplc="459847DE">
      <w:start w:val="1"/>
      <w:numFmt w:val="lowerLetter"/>
      <w:lvlText w:val="%2."/>
      <w:lvlJc w:val="left"/>
      <w:pPr>
        <w:ind w:left="1440" w:hanging="360"/>
      </w:pPr>
    </w:lvl>
    <w:lvl w:ilvl="2" w:tplc="6988E2F8">
      <w:start w:val="1"/>
      <w:numFmt w:val="lowerRoman"/>
      <w:lvlText w:val="%3."/>
      <w:lvlJc w:val="right"/>
      <w:pPr>
        <w:ind w:left="2160" w:hanging="180"/>
      </w:pPr>
    </w:lvl>
    <w:lvl w:ilvl="3" w:tplc="D568A878">
      <w:start w:val="1"/>
      <w:numFmt w:val="decimal"/>
      <w:lvlText w:val="%4."/>
      <w:lvlJc w:val="left"/>
      <w:pPr>
        <w:ind w:left="2880" w:hanging="360"/>
      </w:pPr>
    </w:lvl>
    <w:lvl w:ilvl="4" w:tplc="8D22D18C">
      <w:start w:val="1"/>
      <w:numFmt w:val="lowerLetter"/>
      <w:lvlText w:val="%5."/>
      <w:lvlJc w:val="left"/>
      <w:pPr>
        <w:ind w:left="3600" w:hanging="360"/>
      </w:pPr>
    </w:lvl>
    <w:lvl w:ilvl="5" w:tplc="9FB09AA0">
      <w:start w:val="1"/>
      <w:numFmt w:val="lowerRoman"/>
      <w:lvlText w:val="%6."/>
      <w:lvlJc w:val="right"/>
      <w:pPr>
        <w:ind w:left="4320" w:hanging="180"/>
      </w:pPr>
    </w:lvl>
    <w:lvl w:ilvl="6" w:tplc="7764CABC">
      <w:start w:val="1"/>
      <w:numFmt w:val="decimal"/>
      <w:lvlText w:val="%7."/>
      <w:lvlJc w:val="left"/>
      <w:pPr>
        <w:ind w:left="5040" w:hanging="360"/>
      </w:pPr>
    </w:lvl>
    <w:lvl w:ilvl="7" w:tplc="2932D55A">
      <w:start w:val="1"/>
      <w:numFmt w:val="lowerLetter"/>
      <w:lvlText w:val="%8."/>
      <w:lvlJc w:val="left"/>
      <w:pPr>
        <w:ind w:left="5760" w:hanging="360"/>
      </w:pPr>
    </w:lvl>
    <w:lvl w:ilvl="8" w:tplc="67C4410C">
      <w:start w:val="1"/>
      <w:numFmt w:val="lowerRoman"/>
      <w:lvlText w:val="%9."/>
      <w:lvlJc w:val="right"/>
      <w:pPr>
        <w:ind w:left="6480" w:hanging="180"/>
      </w:pPr>
    </w:lvl>
  </w:abstractNum>
  <w:abstractNum w:abstractNumId="19"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7"/>
  </w:num>
  <w:num w:numId="12">
    <w:abstractNumId w:val="20"/>
  </w:num>
  <w:num w:numId="13">
    <w:abstractNumId w:val="14"/>
  </w:num>
  <w:num w:numId="14">
    <w:abstractNumId w:val="13"/>
  </w:num>
  <w:num w:numId="15">
    <w:abstractNumId w:val="19"/>
  </w:num>
  <w:num w:numId="16">
    <w:abstractNumId w:val="15"/>
  </w:num>
  <w:num w:numId="17">
    <w:abstractNumId w:val="11"/>
  </w:num>
  <w:num w:numId="18">
    <w:abstractNumId w:val="9"/>
  </w:num>
  <w:num w:numId="19">
    <w:abstractNumId w:val="19"/>
    <w:lvlOverride w:ilvl="0">
      <w:startOverride w:val="1"/>
    </w:lvlOverride>
  </w:num>
  <w:num w:numId="20">
    <w:abstractNumId w:val="18"/>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E72"/>
    <w:rsid w:val="00003712"/>
    <w:rsid w:val="000103B3"/>
    <w:rsid w:val="00010D2F"/>
    <w:rsid w:val="000134C0"/>
    <w:rsid w:val="00026B6F"/>
    <w:rsid w:val="000565DD"/>
    <w:rsid w:val="00061993"/>
    <w:rsid w:val="00065E91"/>
    <w:rsid w:val="00070CD4"/>
    <w:rsid w:val="000721E1"/>
    <w:rsid w:val="0007297E"/>
    <w:rsid w:val="000743AB"/>
    <w:rsid w:val="000779AD"/>
    <w:rsid w:val="000831CF"/>
    <w:rsid w:val="00093C61"/>
    <w:rsid w:val="000A47ED"/>
    <w:rsid w:val="000A7BFB"/>
    <w:rsid w:val="000B296B"/>
    <w:rsid w:val="000B31DB"/>
    <w:rsid w:val="000B76AD"/>
    <w:rsid w:val="000C24ED"/>
    <w:rsid w:val="000C4CDA"/>
    <w:rsid w:val="000D4422"/>
    <w:rsid w:val="000D7156"/>
    <w:rsid w:val="000E01C5"/>
    <w:rsid w:val="000E6BC8"/>
    <w:rsid w:val="000F58B6"/>
    <w:rsid w:val="00111420"/>
    <w:rsid w:val="00116D8C"/>
    <w:rsid w:val="00120232"/>
    <w:rsid w:val="00120681"/>
    <w:rsid w:val="0012501C"/>
    <w:rsid w:val="00134890"/>
    <w:rsid w:val="001452C2"/>
    <w:rsid w:val="001543B3"/>
    <w:rsid w:val="0016289F"/>
    <w:rsid w:val="001710F8"/>
    <w:rsid w:val="001716F6"/>
    <w:rsid w:val="001746E1"/>
    <w:rsid w:val="00176A7E"/>
    <w:rsid w:val="001808A9"/>
    <w:rsid w:val="00197A7A"/>
    <w:rsid w:val="001A40F1"/>
    <w:rsid w:val="001A6803"/>
    <w:rsid w:val="001A68B1"/>
    <w:rsid w:val="001A6B4E"/>
    <w:rsid w:val="001A7189"/>
    <w:rsid w:val="001C03A2"/>
    <w:rsid w:val="001C796D"/>
    <w:rsid w:val="001D1021"/>
    <w:rsid w:val="001D5B8B"/>
    <w:rsid w:val="001D708C"/>
    <w:rsid w:val="001D7A1F"/>
    <w:rsid w:val="001E1A52"/>
    <w:rsid w:val="001E279F"/>
    <w:rsid w:val="001E752F"/>
    <w:rsid w:val="001F0382"/>
    <w:rsid w:val="001F2475"/>
    <w:rsid w:val="00200869"/>
    <w:rsid w:val="00200AD1"/>
    <w:rsid w:val="00203AF4"/>
    <w:rsid w:val="00204B75"/>
    <w:rsid w:val="00214B0E"/>
    <w:rsid w:val="00241D7A"/>
    <w:rsid w:val="00246B40"/>
    <w:rsid w:val="0026050A"/>
    <w:rsid w:val="0026245A"/>
    <w:rsid w:val="00265CF8"/>
    <w:rsid w:val="00265D15"/>
    <w:rsid w:val="0026701B"/>
    <w:rsid w:val="00271812"/>
    <w:rsid w:val="00276E56"/>
    <w:rsid w:val="00281415"/>
    <w:rsid w:val="00284A08"/>
    <w:rsid w:val="00295086"/>
    <w:rsid w:val="002A75B7"/>
    <w:rsid w:val="002D2DCC"/>
    <w:rsid w:val="002F3769"/>
    <w:rsid w:val="00307A48"/>
    <w:rsid w:val="00312C62"/>
    <w:rsid w:val="00313747"/>
    <w:rsid w:val="00315AFE"/>
    <w:rsid w:val="00322DB4"/>
    <w:rsid w:val="0032504F"/>
    <w:rsid w:val="00346D08"/>
    <w:rsid w:val="0035200E"/>
    <w:rsid w:val="00356E16"/>
    <w:rsid w:val="00362F41"/>
    <w:rsid w:val="00372D79"/>
    <w:rsid w:val="003816EF"/>
    <w:rsid w:val="003903DD"/>
    <w:rsid w:val="0039766C"/>
    <w:rsid w:val="003A059A"/>
    <w:rsid w:val="003A2AA5"/>
    <w:rsid w:val="003B3398"/>
    <w:rsid w:val="003B5E8C"/>
    <w:rsid w:val="003C208A"/>
    <w:rsid w:val="003D6846"/>
    <w:rsid w:val="003E65BD"/>
    <w:rsid w:val="003F058D"/>
    <w:rsid w:val="003F6CEE"/>
    <w:rsid w:val="0040231E"/>
    <w:rsid w:val="004179B8"/>
    <w:rsid w:val="0042137C"/>
    <w:rsid w:val="004244FF"/>
    <w:rsid w:val="00436747"/>
    <w:rsid w:val="00436E28"/>
    <w:rsid w:val="00440558"/>
    <w:rsid w:val="00440A85"/>
    <w:rsid w:val="004474AD"/>
    <w:rsid w:val="004520DA"/>
    <w:rsid w:val="00452905"/>
    <w:rsid w:val="00452F0F"/>
    <w:rsid w:val="00453B10"/>
    <w:rsid w:val="004564A4"/>
    <w:rsid w:val="00456E6C"/>
    <w:rsid w:val="00465220"/>
    <w:rsid w:val="00465793"/>
    <w:rsid w:val="00480D3E"/>
    <w:rsid w:val="0048201F"/>
    <w:rsid w:val="0048706A"/>
    <w:rsid w:val="004A2E41"/>
    <w:rsid w:val="004A4D04"/>
    <w:rsid w:val="004B60FA"/>
    <w:rsid w:val="004B7858"/>
    <w:rsid w:val="004C4AB9"/>
    <w:rsid w:val="004C4E14"/>
    <w:rsid w:val="004D069E"/>
    <w:rsid w:val="004D5274"/>
    <w:rsid w:val="004E05FC"/>
    <w:rsid w:val="004E548C"/>
    <w:rsid w:val="004F372A"/>
    <w:rsid w:val="004F630D"/>
    <w:rsid w:val="004F7A50"/>
    <w:rsid w:val="005018A6"/>
    <w:rsid w:val="005073C6"/>
    <w:rsid w:val="00507EEC"/>
    <w:rsid w:val="00511551"/>
    <w:rsid w:val="00516BDC"/>
    <w:rsid w:val="0051747E"/>
    <w:rsid w:val="005353F2"/>
    <w:rsid w:val="005405B1"/>
    <w:rsid w:val="0054293C"/>
    <w:rsid w:val="0054681E"/>
    <w:rsid w:val="00550923"/>
    <w:rsid w:val="00550DC6"/>
    <w:rsid w:val="00551EC6"/>
    <w:rsid w:val="0055396F"/>
    <w:rsid w:val="00553A7B"/>
    <w:rsid w:val="00554E4E"/>
    <w:rsid w:val="00556293"/>
    <w:rsid w:val="00567536"/>
    <w:rsid w:val="005716E0"/>
    <w:rsid w:val="00581682"/>
    <w:rsid w:val="00582D1E"/>
    <w:rsid w:val="00583CB0"/>
    <w:rsid w:val="00584F59"/>
    <w:rsid w:val="00586D55"/>
    <w:rsid w:val="00593335"/>
    <w:rsid w:val="0059734D"/>
    <w:rsid w:val="00597C3F"/>
    <w:rsid w:val="005A4DE9"/>
    <w:rsid w:val="005A59DD"/>
    <w:rsid w:val="005B0302"/>
    <w:rsid w:val="005B7490"/>
    <w:rsid w:val="005C73EC"/>
    <w:rsid w:val="005D50FE"/>
    <w:rsid w:val="005D5BF4"/>
    <w:rsid w:val="005E145E"/>
    <w:rsid w:val="005F110B"/>
    <w:rsid w:val="005F2414"/>
    <w:rsid w:val="005F2F25"/>
    <w:rsid w:val="005F3A6C"/>
    <w:rsid w:val="006015F6"/>
    <w:rsid w:val="00605F8E"/>
    <w:rsid w:val="0061690C"/>
    <w:rsid w:val="0062373F"/>
    <w:rsid w:val="006320A2"/>
    <w:rsid w:val="0063328C"/>
    <w:rsid w:val="00642383"/>
    <w:rsid w:val="0064611F"/>
    <w:rsid w:val="00650E9A"/>
    <w:rsid w:val="00662777"/>
    <w:rsid w:val="006647A8"/>
    <w:rsid w:val="006649DD"/>
    <w:rsid w:val="006712CF"/>
    <w:rsid w:val="006728E2"/>
    <w:rsid w:val="00672DF3"/>
    <w:rsid w:val="00676ABC"/>
    <w:rsid w:val="006777EB"/>
    <w:rsid w:val="0068470C"/>
    <w:rsid w:val="00684F54"/>
    <w:rsid w:val="00686A25"/>
    <w:rsid w:val="00693F37"/>
    <w:rsid w:val="00696572"/>
    <w:rsid w:val="006A741F"/>
    <w:rsid w:val="006B072F"/>
    <w:rsid w:val="006B2E23"/>
    <w:rsid w:val="006B63B9"/>
    <w:rsid w:val="006B7856"/>
    <w:rsid w:val="006B7A02"/>
    <w:rsid w:val="006C160A"/>
    <w:rsid w:val="006C52E2"/>
    <w:rsid w:val="006D0727"/>
    <w:rsid w:val="006D3019"/>
    <w:rsid w:val="006D4261"/>
    <w:rsid w:val="00702959"/>
    <w:rsid w:val="0071509E"/>
    <w:rsid w:val="007153F7"/>
    <w:rsid w:val="00717639"/>
    <w:rsid w:val="00717A99"/>
    <w:rsid w:val="007205FB"/>
    <w:rsid w:val="007221E5"/>
    <w:rsid w:val="00725229"/>
    <w:rsid w:val="00735869"/>
    <w:rsid w:val="0075012F"/>
    <w:rsid w:val="0075032B"/>
    <w:rsid w:val="00767ADE"/>
    <w:rsid w:val="007735BC"/>
    <w:rsid w:val="007737CF"/>
    <w:rsid w:val="007739F3"/>
    <w:rsid w:val="007804F4"/>
    <w:rsid w:val="00783501"/>
    <w:rsid w:val="00791F53"/>
    <w:rsid w:val="007A1110"/>
    <w:rsid w:val="007A70EA"/>
    <w:rsid w:val="007C53B2"/>
    <w:rsid w:val="007C5F28"/>
    <w:rsid w:val="007C72E9"/>
    <w:rsid w:val="007D0D05"/>
    <w:rsid w:val="007D3428"/>
    <w:rsid w:val="007E40F3"/>
    <w:rsid w:val="007E7183"/>
    <w:rsid w:val="007F1ECD"/>
    <w:rsid w:val="007F448F"/>
    <w:rsid w:val="00800D3B"/>
    <w:rsid w:val="00805A91"/>
    <w:rsid w:val="00805E82"/>
    <w:rsid w:val="00810A03"/>
    <w:rsid w:val="00822F27"/>
    <w:rsid w:val="008237C0"/>
    <w:rsid w:val="00831717"/>
    <w:rsid w:val="00835EF3"/>
    <w:rsid w:val="00836F47"/>
    <w:rsid w:val="00853AF7"/>
    <w:rsid w:val="008634CA"/>
    <w:rsid w:val="0087149B"/>
    <w:rsid w:val="00874D49"/>
    <w:rsid w:val="00886CBD"/>
    <w:rsid w:val="00893057"/>
    <w:rsid w:val="008B215A"/>
    <w:rsid w:val="008B7E88"/>
    <w:rsid w:val="008E0805"/>
    <w:rsid w:val="008E1C7E"/>
    <w:rsid w:val="008E3C95"/>
    <w:rsid w:val="008F19B0"/>
    <w:rsid w:val="008F6391"/>
    <w:rsid w:val="0090193C"/>
    <w:rsid w:val="00917946"/>
    <w:rsid w:val="00927CF8"/>
    <w:rsid w:val="009311A1"/>
    <w:rsid w:val="00932103"/>
    <w:rsid w:val="009357A7"/>
    <w:rsid w:val="0094369A"/>
    <w:rsid w:val="00944FB7"/>
    <w:rsid w:val="00953B03"/>
    <w:rsid w:val="0096025D"/>
    <w:rsid w:val="00967117"/>
    <w:rsid w:val="00977E72"/>
    <w:rsid w:val="00980095"/>
    <w:rsid w:val="0098088B"/>
    <w:rsid w:val="00983B37"/>
    <w:rsid w:val="00984206"/>
    <w:rsid w:val="00991DF5"/>
    <w:rsid w:val="00992826"/>
    <w:rsid w:val="00993651"/>
    <w:rsid w:val="00996296"/>
    <w:rsid w:val="00997914"/>
    <w:rsid w:val="009A23D1"/>
    <w:rsid w:val="009A394E"/>
    <w:rsid w:val="009A5E57"/>
    <w:rsid w:val="009A668E"/>
    <w:rsid w:val="009C1936"/>
    <w:rsid w:val="009C423F"/>
    <w:rsid w:val="009C5D7D"/>
    <w:rsid w:val="009C64E8"/>
    <w:rsid w:val="009E712C"/>
    <w:rsid w:val="009F19D4"/>
    <w:rsid w:val="009F4D57"/>
    <w:rsid w:val="009F65B5"/>
    <w:rsid w:val="009F7ADB"/>
    <w:rsid w:val="00A06510"/>
    <w:rsid w:val="00A06FFE"/>
    <w:rsid w:val="00A14C3A"/>
    <w:rsid w:val="00A16C8C"/>
    <w:rsid w:val="00A20A56"/>
    <w:rsid w:val="00A24D08"/>
    <w:rsid w:val="00A34DCE"/>
    <w:rsid w:val="00A411B6"/>
    <w:rsid w:val="00A457DE"/>
    <w:rsid w:val="00A51260"/>
    <w:rsid w:val="00A56AB7"/>
    <w:rsid w:val="00A57092"/>
    <w:rsid w:val="00A576AE"/>
    <w:rsid w:val="00A63A19"/>
    <w:rsid w:val="00A666CC"/>
    <w:rsid w:val="00A72DE4"/>
    <w:rsid w:val="00A80A88"/>
    <w:rsid w:val="00A8320C"/>
    <w:rsid w:val="00A96EAB"/>
    <w:rsid w:val="00AA0895"/>
    <w:rsid w:val="00AA1864"/>
    <w:rsid w:val="00AA4569"/>
    <w:rsid w:val="00AA6AD7"/>
    <w:rsid w:val="00AB0148"/>
    <w:rsid w:val="00AB0B9A"/>
    <w:rsid w:val="00AB0E06"/>
    <w:rsid w:val="00AB1E9B"/>
    <w:rsid w:val="00AB25B0"/>
    <w:rsid w:val="00AB5384"/>
    <w:rsid w:val="00AD1B0D"/>
    <w:rsid w:val="00AD566C"/>
    <w:rsid w:val="00AE0085"/>
    <w:rsid w:val="00AE6C2B"/>
    <w:rsid w:val="00B01AFC"/>
    <w:rsid w:val="00B14E82"/>
    <w:rsid w:val="00B20A7C"/>
    <w:rsid w:val="00B250F6"/>
    <w:rsid w:val="00B31FD7"/>
    <w:rsid w:val="00B337BC"/>
    <w:rsid w:val="00B44E54"/>
    <w:rsid w:val="00B5061C"/>
    <w:rsid w:val="00B5300A"/>
    <w:rsid w:val="00B545AF"/>
    <w:rsid w:val="00B558D2"/>
    <w:rsid w:val="00B63908"/>
    <w:rsid w:val="00B72839"/>
    <w:rsid w:val="00B853CB"/>
    <w:rsid w:val="00BA1576"/>
    <w:rsid w:val="00BA5387"/>
    <w:rsid w:val="00BC02DB"/>
    <w:rsid w:val="00BC06DB"/>
    <w:rsid w:val="00BC06F6"/>
    <w:rsid w:val="00BC49C3"/>
    <w:rsid w:val="00BD1D5C"/>
    <w:rsid w:val="00BD58F8"/>
    <w:rsid w:val="00BE0726"/>
    <w:rsid w:val="00BE2545"/>
    <w:rsid w:val="00BE2D7C"/>
    <w:rsid w:val="00BE6165"/>
    <w:rsid w:val="00BE7093"/>
    <w:rsid w:val="00BF4142"/>
    <w:rsid w:val="00C021E2"/>
    <w:rsid w:val="00C044D2"/>
    <w:rsid w:val="00C1583B"/>
    <w:rsid w:val="00C22BED"/>
    <w:rsid w:val="00C23ADF"/>
    <w:rsid w:val="00C25453"/>
    <w:rsid w:val="00C44D8D"/>
    <w:rsid w:val="00C52243"/>
    <w:rsid w:val="00C72300"/>
    <w:rsid w:val="00C800AC"/>
    <w:rsid w:val="00C82E8E"/>
    <w:rsid w:val="00C834CA"/>
    <w:rsid w:val="00C83D3F"/>
    <w:rsid w:val="00CA34FF"/>
    <w:rsid w:val="00CA402C"/>
    <w:rsid w:val="00CA73A1"/>
    <w:rsid w:val="00CB184B"/>
    <w:rsid w:val="00CB615C"/>
    <w:rsid w:val="00CC7806"/>
    <w:rsid w:val="00CC787A"/>
    <w:rsid w:val="00CD7929"/>
    <w:rsid w:val="00CE47D6"/>
    <w:rsid w:val="00CE6B05"/>
    <w:rsid w:val="00CF2545"/>
    <w:rsid w:val="00CF469B"/>
    <w:rsid w:val="00CF4CF7"/>
    <w:rsid w:val="00CF53BF"/>
    <w:rsid w:val="00D05ED8"/>
    <w:rsid w:val="00D05F25"/>
    <w:rsid w:val="00D07568"/>
    <w:rsid w:val="00D21708"/>
    <w:rsid w:val="00D21AB7"/>
    <w:rsid w:val="00D25FC8"/>
    <w:rsid w:val="00D34D05"/>
    <w:rsid w:val="00D36923"/>
    <w:rsid w:val="00D36B5F"/>
    <w:rsid w:val="00D421D2"/>
    <w:rsid w:val="00D426BE"/>
    <w:rsid w:val="00D51713"/>
    <w:rsid w:val="00D63062"/>
    <w:rsid w:val="00D67EEB"/>
    <w:rsid w:val="00D7422C"/>
    <w:rsid w:val="00D755DE"/>
    <w:rsid w:val="00D848BE"/>
    <w:rsid w:val="00D870BA"/>
    <w:rsid w:val="00D87497"/>
    <w:rsid w:val="00D93DBC"/>
    <w:rsid w:val="00D95C2A"/>
    <w:rsid w:val="00DA01BC"/>
    <w:rsid w:val="00DB4731"/>
    <w:rsid w:val="00DB62A6"/>
    <w:rsid w:val="00DC082F"/>
    <w:rsid w:val="00DC1DEE"/>
    <w:rsid w:val="00DC45FD"/>
    <w:rsid w:val="00DC58DC"/>
    <w:rsid w:val="00DC6A29"/>
    <w:rsid w:val="00DD1F73"/>
    <w:rsid w:val="00DD2B6D"/>
    <w:rsid w:val="00DE38DD"/>
    <w:rsid w:val="00DE55D0"/>
    <w:rsid w:val="00DE637C"/>
    <w:rsid w:val="00DF3784"/>
    <w:rsid w:val="00DF6C0E"/>
    <w:rsid w:val="00E07064"/>
    <w:rsid w:val="00E073ED"/>
    <w:rsid w:val="00E10A3C"/>
    <w:rsid w:val="00E135A7"/>
    <w:rsid w:val="00E1682B"/>
    <w:rsid w:val="00E174B8"/>
    <w:rsid w:val="00E17F32"/>
    <w:rsid w:val="00E2590A"/>
    <w:rsid w:val="00E25D41"/>
    <w:rsid w:val="00E26CE4"/>
    <w:rsid w:val="00E307D2"/>
    <w:rsid w:val="00E344A9"/>
    <w:rsid w:val="00E36170"/>
    <w:rsid w:val="00E4430D"/>
    <w:rsid w:val="00E46AA3"/>
    <w:rsid w:val="00E47E86"/>
    <w:rsid w:val="00E60B99"/>
    <w:rsid w:val="00E60D1B"/>
    <w:rsid w:val="00E60DD9"/>
    <w:rsid w:val="00E63F1B"/>
    <w:rsid w:val="00E6552B"/>
    <w:rsid w:val="00E67FA2"/>
    <w:rsid w:val="00E71CE0"/>
    <w:rsid w:val="00E758FB"/>
    <w:rsid w:val="00E82EE4"/>
    <w:rsid w:val="00E87471"/>
    <w:rsid w:val="00E91C9C"/>
    <w:rsid w:val="00E94173"/>
    <w:rsid w:val="00E973A8"/>
    <w:rsid w:val="00EA5F47"/>
    <w:rsid w:val="00EA5FD0"/>
    <w:rsid w:val="00EB034D"/>
    <w:rsid w:val="00EB3737"/>
    <w:rsid w:val="00EC5809"/>
    <w:rsid w:val="00EC6B06"/>
    <w:rsid w:val="00ED39BD"/>
    <w:rsid w:val="00ED5E5B"/>
    <w:rsid w:val="00EF1091"/>
    <w:rsid w:val="00F044FD"/>
    <w:rsid w:val="00F1143D"/>
    <w:rsid w:val="00F123E5"/>
    <w:rsid w:val="00F16FAC"/>
    <w:rsid w:val="00F20577"/>
    <w:rsid w:val="00F21792"/>
    <w:rsid w:val="00F245B9"/>
    <w:rsid w:val="00F26812"/>
    <w:rsid w:val="00F279FD"/>
    <w:rsid w:val="00F334A6"/>
    <w:rsid w:val="00F36384"/>
    <w:rsid w:val="00F41430"/>
    <w:rsid w:val="00F4528B"/>
    <w:rsid w:val="00F46B7B"/>
    <w:rsid w:val="00F50674"/>
    <w:rsid w:val="00F50E6F"/>
    <w:rsid w:val="00F53B9E"/>
    <w:rsid w:val="00F55C7D"/>
    <w:rsid w:val="00F56049"/>
    <w:rsid w:val="00F57D26"/>
    <w:rsid w:val="00F749FF"/>
    <w:rsid w:val="00F7615B"/>
    <w:rsid w:val="00F83F6D"/>
    <w:rsid w:val="00F852B9"/>
    <w:rsid w:val="00F953FC"/>
    <w:rsid w:val="00FA51AF"/>
    <w:rsid w:val="00FB1863"/>
    <w:rsid w:val="00FB39FA"/>
    <w:rsid w:val="00FB4F2A"/>
    <w:rsid w:val="00FB696C"/>
    <w:rsid w:val="00FC3E0A"/>
    <w:rsid w:val="00FC4419"/>
    <w:rsid w:val="00FD34C6"/>
    <w:rsid w:val="00FD5A33"/>
    <w:rsid w:val="00FD7628"/>
    <w:rsid w:val="00FE2FE7"/>
    <w:rsid w:val="00FE6224"/>
    <w:rsid w:val="00FE6A1B"/>
    <w:rsid w:val="00FF209F"/>
    <w:rsid w:val="00FF369D"/>
    <w:rsid w:val="00FF4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16AA6D"/>
  <w15:chartTrackingRefBased/>
  <w15:docId w15:val="{728B9FC9-926E-4CE4-80F6-6DA60763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3E5"/>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440A85"/>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40A85"/>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40A85"/>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link w:val="Heading6Char"/>
    <w:autoRedefine/>
    <w:qFormat/>
    <w:rsid w:val="00440A85"/>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A85"/>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440A85"/>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440A85"/>
    <w:rPr>
      <w:rFonts w:ascii="Arial" w:eastAsia="Times New Roman" w:hAnsi="Arial" w:cs="Arial"/>
      <w:b/>
      <w:bCs/>
      <w:sz w:val="26"/>
      <w:szCs w:val="26"/>
      <w:lang w:eastAsia="en-GB"/>
    </w:rPr>
  </w:style>
  <w:style w:type="character" w:customStyle="1" w:styleId="Heading6Char">
    <w:name w:val="Heading 6 Char"/>
    <w:basedOn w:val="DefaultParagraphFont"/>
    <w:link w:val="Heading6"/>
    <w:rsid w:val="00440A85"/>
    <w:rPr>
      <w:rFonts w:ascii="Times New Roman" w:eastAsia="Times New Roman" w:hAnsi="Times New Roman" w:cs="Times New Roman"/>
      <w:sz w:val="19"/>
      <w:szCs w:val="20"/>
      <w:lang w:eastAsia="en-GB"/>
    </w:rPr>
  </w:style>
  <w:style w:type="paragraph" w:customStyle="1" w:styleId="01PaperTitle">
    <w:name w:val="01 Paper Title"/>
    <w:next w:val="02Authornames"/>
    <w:autoRedefine/>
    <w:rsid w:val="00440A85"/>
    <w:pPr>
      <w:spacing w:before="180" w:after="120" w:line="216" w:lineRule="auto"/>
      <w:contextualSpacing/>
      <w:jc w:val="center"/>
    </w:pPr>
    <w:rPr>
      <w:rFonts w:ascii="Arial Black" w:eastAsia="Times New Roman" w:hAnsi="Arial Black" w:cs="Times New Roman"/>
      <w:noProof/>
      <w:position w:val="8"/>
      <w:sz w:val="32"/>
      <w:szCs w:val="32"/>
      <w:lang w:eastAsia="en-GB"/>
    </w:rPr>
  </w:style>
  <w:style w:type="paragraph" w:customStyle="1" w:styleId="02Authornames">
    <w:name w:val="02 Author names"/>
    <w:autoRedefine/>
    <w:rsid w:val="00440A85"/>
    <w:pPr>
      <w:spacing w:after="120" w:line="240" w:lineRule="exact"/>
      <w:ind w:left="600" w:right="568"/>
      <w:jc w:val="center"/>
    </w:pPr>
    <w:rPr>
      <w:rFonts w:ascii="Times New Roman" w:eastAsia="Times New Roman" w:hAnsi="Times New Roman" w:cs="Times New Roman"/>
      <w:b/>
      <w:noProof/>
      <w:sz w:val="26"/>
      <w:lang w:eastAsia="en-GB"/>
    </w:rPr>
  </w:style>
  <w:style w:type="paragraph" w:customStyle="1" w:styleId="06bMaterialmethodstext">
    <w:name w:val="06b Material &amp; methods text"/>
    <w:basedOn w:val="Normal"/>
    <w:autoRedefine/>
    <w:rsid w:val="00440A85"/>
    <w:pPr>
      <w:tabs>
        <w:tab w:val="left" w:pos="199"/>
      </w:tabs>
      <w:spacing w:after="240"/>
      <w:ind w:firstLine="199"/>
      <w:contextualSpacing/>
      <w:jc w:val="both"/>
    </w:pPr>
    <w:rPr>
      <w:sz w:val="18"/>
    </w:rPr>
  </w:style>
  <w:style w:type="paragraph" w:customStyle="1" w:styleId="04Abstract">
    <w:name w:val="04 Abstract"/>
    <w:next w:val="Normal"/>
    <w:autoRedefine/>
    <w:rsid w:val="00440A85"/>
    <w:pPr>
      <w:spacing w:before="120" w:after="120" w:line="240" w:lineRule="auto"/>
      <w:jc w:val="both"/>
    </w:pPr>
    <w:rPr>
      <w:rFonts w:ascii="Times New Roman" w:eastAsia="Times New Roman" w:hAnsi="Times New Roman" w:cs="Times New Roman"/>
      <w:sz w:val="19"/>
      <w:szCs w:val="18"/>
      <w:lang w:eastAsia="en-GB"/>
    </w:rPr>
  </w:style>
  <w:style w:type="paragraph" w:customStyle="1" w:styleId="07HEADINGA">
    <w:name w:val="07 HEADING A"/>
    <w:next w:val="06aMaintext"/>
    <w:autoRedefine/>
    <w:rsid w:val="00440A85"/>
    <w:pPr>
      <w:spacing w:after="0" w:line="240" w:lineRule="exact"/>
    </w:pPr>
    <w:rPr>
      <w:rFonts w:ascii="Arial" w:eastAsia="Times New Roman" w:hAnsi="Arial" w:cs="Times New Roman"/>
      <w:b/>
      <w:sz w:val="19"/>
      <w:szCs w:val="20"/>
      <w:lang w:eastAsia="en-GB"/>
    </w:rPr>
  </w:style>
  <w:style w:type="paragraph" w:customStyle="1" w:styleId="06aMaintext">
    <w:name w:val="06a Main text"/>
    <w:link w:val="06aMaintextChar"/>
    <w:autoRedefine/>
    <w:rsid w:val="00440A85"/>
    <w:pPr>
      <w:tabs>
        <w:tab w:val="left" w:pos="198"/>
      </w:tabs>
      <w:spacing w:after="240" w:line="220" w:lineRule="exact"/>
      <w:ind w:firstLine="199"/>
      <w:contextualSpacing/>
      <w:jc w:val="both"/>
    </w:pPr>
    <w:rPr>
      <w:rFonts w:ascii="Times New Roman" w:eastAsia="Times New Roman" w:hAnsi="Times New Roman" w:cs="Times New Roman"/>
      <w:spacing w:val="-2"/>
      <w:sz w:val="19"/>
      <w:szCs w:val="18"/>
      <w:lang w:eastAsia="en-GB"/>
    </w:rPr>
  </w:style>
  <w:style w:type="paragraph" w:customStyle="1" w:styleId="A1Footnote">
    <w:name w:val="A1 Footnote"/>
    <w:basedOn w:val="Normal"/>
    <w:autoRedefine/>
    <w:rsid w:val="00440A85"/>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440A85"/>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after="0" w:line="200" w:lineRule="exact"/>
      <w:jc w:val="both"/>
    </w:pPr>
    <w:rPr>
      <w:rFonts w:ascii="Times New Roman" w:eastAsia="Times New Roman" w:hAnsi="Times New Roman" w:cs="Times New Roman"/>
      <w:noProof/>
      <w:spacing w:val="2"/>
      <w:sz w:val="18"/>
      <w:szCs w:val="18"/>
      <w:lang w:eastAsia="en-GB"/>
    </w:rPr>
  </w:style>
  <w:style w:type="paragraph" w:customStyle="1" w:styleId="03Authoraffiliation">
    <w:name w:val="03 Author affiliation"/>
    <w:autoRedefine/>
    <w:rsid w:val="00440A85"/>
    <w:pPr>
      <w:spacing w:after="0" w:line="240" w:lineRule="auto"/>
      <w:jc w:val="center"/>
    </w:pPr>
    <w:rPr>
      <w:rFonts w:ascii="Times New Roman" w:eastAsia="Times New Roman" w:hAnsi="Times New Roman" w:cs="Times New Roman"/>
      <w:i/>
      <w:noProof/>
      <w:sz w:val="19"/>
      <w:szCs w:val="20"/>
      <w:lang w:eastAsia="en-GB"/>
    </w:rPr>
  </w:style>
  <w:style w:type="paragraph" w:customStyle="1" w:styleId="05Keywords">
    <w:name w:val="05 Keywords"/>
    <w:basedOn w:val="04Abstract"/>
    <w:autoRedefine/>
    <w:rsid w:val="00440A85"/>
    <w:pPr>
      <w:spacing w:after="0"/>
      <w:ind w:left="600" w:right="589"/>
      <w:contextualSpacing/>
      <w:jc w:val="center"/>
    </w:pPr>
  </w:style>
  <w:style w:type="paragraph" w:customStyle="1" w:styleId="X1Textlinedonotuse">
    <w:name w:val="X1 Text line (do not use)"/>
    <w:basedOn w:val="05Keywords"/>
    <w:rsid w:val="00440A85"/>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440A85"/>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440A85"/>
    <w:pPr>
      <w:spacing w:after="0" w:line="240" w:lineRule="exact"/>
    </w:pPr>
    <w:rPr>
      <w:rFonts w:ascii="Times New Roman" w:eastAsia="Times New Roman" w:hAnsi="Times New Roman" w:cs="Times New Roman"/>
      <w:b/>
      <w:i/>
      <w:color w:val="000000"/>
      <w:sz w:val="18"/>
      <w:szCs w:val="20"/>
      <w:lang w:eastAsia="en-GB"/>
    </w:rPr>
  </w:style>
  <w:style w:type="paragraph" w:customStyle="1" w:styleId="09HeadingC">
    <w:name w:val="09 Heading C"/>
    <w:next w:val="Normal"/>
    <w:rsid w:val="00440A85"/>
    <w:pPr>
      <w:spacing w:before="240" w:after="0" w:line="200" w:lineRule="exact"/>
    </w:pPr>
    <w:rPr>
      <w:rFonts w:ascii="Times New Roman" w:eastAsia="Times New Roman" w:hAnsi="Times New Roman" w:cs="Times New Roman"/>
      <w:i/>
      <w:sz w:val="18"/>
      <w:szCs w:val="20"/>
      <w:lang w:eastAsia="en-GB"/>
    </w:rPr>
  </w:style>
  <w:style w:type="paragraph" w:customStyle="1" w:styleId="10HeadingD">
    <w:name w:val="10 Heading D"/>
    <w:next w:val="Normal"/>
    <w:autoRedefine/>
    <w:rsid w:val="00440A85"/>
    <w:pPr>
      <w:spacing w:before="240" w:after="0" w:line="240" w:lineRule="auto"/>
      <w:jc w:val="both"/>
    </w:pPr>
    <w:rPr>
      <w:rFonts w:ascii="Times New Roman" w:eastAsia="Times New Roman" w:hAnsi="Times New Roman" w:cs="Times New Roman"/>
      <w:i/>
      <w:sz w:val="19"/>
      <w:szCs w:val="20"/>
      <w:lang w:eastAsia="en-GB"/>
    </w:rPr>
  </w:style>
  <w:style w:type="paragraph" w:customStyle="1" w:styleId="F2Figlegend2column">
    <w:name w:val="F2 Fig legend (2 column)"/>
    <w:basedOn w:val="Normal"/>
    <w:link w:val="F2Figlegend2columnChar"/>
    <w:autoRedefine/>
    <w:rsid w:val="00440A85"/>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440A85"/>
    <w:pPr>
      <w:spacing w:before="240" w:after="240"/>
      <w:jc w:val="both"/>
    </w:pPr>
    <w:rPr>
      <w:sz w:val="18"/>
    </w:rPr>
  </w:style>
  <w:style w:type="paragraph" w:customStyle="1" w:styleId="A2ESMstatement">
    <w:name w:val="A2 ESM statement"/>
    <w:basedOn w:val="Normal"/>
    <w:autoRedefine/>
    <w:rsid w:val="00440A85"/>
    <w:pPr>
      <w:framePr w:w="4763" w:wrap="notBeside" w:hAnchor="margin" w:x="1" w:yAlign="bottom" w:anchorLock="1"/>
      <w:ind w:right="-36"/>
      <w:jc w:val="both"/>
    </w:pPr>
    <w:rPr>
      <w:sz w:val="16"/>
    </w:rPr>
  </w:style>
  <w:style w:type="paragraph" w:customStyle="1" w:styleId="H1Shorttitle">
    <w:name w:val="H1 Short title"/>
    <w:basedOn w:val="Normal"/>
    <w:autoRedefine/>
    <w:rsid w:val="00440A85"/>
    <w:pPr>
      <w:spacing w:after="100" w:afterAutospacing="1"/>
    </w:pPr>
    <w:rPr>
      <w:sz w:val="18"/>
    </w:rPr>
  </w:style>
  <w:style w:type="paragraph" w:customStyle="1" w:styleId="11HeadingE">
    <w:name w:val="11 Heading E"/>
    <w:basedOn w:val="10HeadingD"/>
    <w:next w:val="06aMaintext"/>
    <w:autoRedefine/>
    <w:rsid w:val="00440A85"/>
    <w:rPr>
      <w:i w:val="0"/>
    </w:rPr>
  </w:style>
  <w:style w:type="paragraph" w:customStyle="1" w:styleId="T1Table1column">
    <w:name w:val="T1 Table (1 column)"/>
    <w:autoRedefine/>
    <w:rsid w:val="00440A85"/>
    <w:pPr>
      <w:framePr w:wrap="around" w:vAnchor="text" w:hAnchor="text" w:y="1"/>
      <w:spacing w:before="2" w:after="2" w:line="200" w:lineRule="exact"/>
      <w:contextualSpacing/>
    </w:pPr>
    <w:rPr>
      <w:rFonts w:ascii="Times New Roman" w:eastAsia="Times New Roman" w:hAnsi="Times New Roman" w:cs="Times New Roman"/>
      <w:noProof/>
      <w:sz w:val="18"/>
      <w:szCs w:val="20"/>
      <w:lang w:eastAsia="en-GB"/>
    </w:rPr>
  </w:style>
  <w:style w:type="paragraph" w:customStyle="1" w:styleId="T2Table2column">
    <w:name w:val="T2 Table (2 column)"/>
    <w:autoRedefine/>
    <w:rsid w:val="00440A85"/>
    <w:pPr>
      <w:framePr w:w="9478" w:hSpace="170" w:wrap="around" w:vAnchor="page" w:hAnchor="margin" w:y="1443"/>
      <w:spacing w:before="2" w:after="2" w:line="200" w:lineRule="exact"/>
      <w:contextualSpacing/>
    </w:pPr>
    <w:rPr>
      <w:rFonts w:ascii="Times New Roman" w:eastAsia="Times New Roman" w:hAnsi="Times New Roman" w:cs="Times New Roman"/>
      <w:sz w:val="18"/>
      <w:szCs w:val="16"/>
      <w:lang w:eastAsia="en-GB"/>
    </w:rPr>
  </w:style>
  <w:style w:type="table" w:customStyle="1" w:styleId="T3Tablegrid">
    <w:name w:val="T3 Table grid"/>
    <w:basedOn w:val="TableNormal"/>
    <w:rsid w:val="00440A85"/>
    <w:pPr>
      <w:spacing w:after="0" w:line="240" w:lineRule="auto"/>
    </w:pPr>
    <w:rPr>
      <w:rFonts w:ascii="Times New Roman" w:eastAsia="Times New Roman" w:hAnsi="Times New Roman" w:cs="Times New Roman"/>
      <w:sz w:val="18"/>
      <w:szCs w:val="18"/>
      <w:lang w:eastAsia="en-GB"/>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440A85"/>
    <w:rPr>
      <w:rFonts w:ascii="Times New Roman" w:eastAsia="Times New Roman" w:hAnsi="Times New Roman" w:cs="Times New Roman"/>
      <w:spacing w:val="-2"/>
      <w:sz w:val="19"/>
      <w:szCs w:val="18"/>
      <w:lang w:eastAsia="en-GB"/>
    </w:rPr>
  </w:style>
  <w:style w:type="character" w:styleId="Emphasis">
    <w:name w:val="Emphasis"/>
    <w:basedOn w:val="DefaultParagraphFont"/>
    <w:uiPriority w:val="20"/>
    <w:qFormat/>
    <w:rsid w:val="00440A85"/>
    <w:rPr>
      <w:i/>
      <w:iCs/>
    </w:rPr>
  </w:style>
  <w:style w:type="paragraph" w:styleId="Title">
    <w:name w:val="Title"/>
    <w:basedOn w:val="Normal"/>
    <w:next w:val="Normal"/>
    <w:link w:val="TitleChar"/>
    <w:uiPriority w:val="10"/>
    <w:qFormat/>
    <w:rsid w:val="00440A8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40A85"/>
    <w:rPr>
      <w:rFonts w:asciiTheme="majorHAnsi" w:eastAsiaTheme="majorEastAsia" w:hAnsiTheme="majorHAnsi" w:cstheme="majorBidi"/>
      <w:b/>
      <w:bCs/>
      <w:kern w:val="28"/>
      <w:sz w:val="32"/>
      <w:szCs w:val="32"/>
      <w:lang w:eastAsia="en-GB"/>
    </w:rPr>
  </w:style>
  <w:style w:type="character" w:customStyle="1" w:styleId="F1Figlegend1columnChar">
    <w:name w:val="F1 Fig legend (1 column) Char"/>
    <w:basedOn w:val="DefaultParagraphFont"/>
    <w:link w:val="F1Figlegend1column"/>
    <w:rsid w:val="00440A85"/>
    <w:rPr>
      <w:rFonts w:ascii="Times New Roman" w:eastAsia="Times New Roman" w:hAnsi="Times New Roman" w:cs="Times New Roman"/>
      <w:sz w:val="18"/>
      <w:szCs w:val="20"/>
      <w:shd w:val="solid" w:color="FFFFFF" w:fill="FFFFFF"/>
      <w:lang w:eastAsia="en-GB"/>
    </w:rPr>
  </w:style>
  <w:style w:type="character" w:customStyle="1" w:styleId="F2Figlegend2columnChar">
    <w:name w:val="F2 Fig legend (2 column) Char"/>
    <w:basedOn w:val="DefaultParagraphFont"/>
    <w:link w:val="F2Figlegend2column"/>
    <w:rsid w:val="00440A85"/>
    <w:rPr>
      <w:rFonts w:ascii="Times New Roman" w:eastAsia="Times New Roman" w:hAnsi="Times New Roman" w:cs="Times New Roman"/>
      <w:sz w:val="18"/>
      <w:szCs w:val="20"/>
      <w:shd w:val="solid" w:color="FFFFFF" w:fill="FFFFFF"/>
      <w:lang w:eastAsia="en-GB"/>
    </w:rPr>
  </w:style>
  <w:style w:type="paragraph" w:customStyle="1" w:styleId="F3Figstyle1column">
    <w:name w:val="F3 Fig style (1 column)"/>
    <w:basedOn w:val="Normal"/>
    <w:next w:val="F1Figlegend1column"/>
    <w:autoRedefine/>
    <w:rsid w:val="00440A85"/>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440A85"/>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440A85"/>
    <w:pPr>
      <w:ind w:left="720"/>
    </w:pPr>
  </w:style>
  <w:style w:type="character" w:customStyle="1" w:styleId="apple-converted-space">
    <w:name w:val="apple-converted-space"/>
    <w:basedOn w:val="DefaultParagraphFont"/>
    <w:rsid w:val="00440A85"/>
  </w:style>
  <w:style w:type="character" w:styleId="Strong">
    <w:name w:val="Strong"/>
    <w:basedOn w:val="DefaultParagraphFont"/>
    <w:uiPriority w:val="22"/>
    <w:qFormat/>
    <w:rsid w:val="00440A85"/>
    <w:rPr>
      <w:b/>
      <w:bCs/>
    </w:rPr>
  </w:style>
  <w:style w:type="character" w:styleId="Hyperlink">
    <w:name w:val="Hyperlink"/>
    <w:basedOn w:val="DefaultParagraphFont"/>
    <w:uiPriority w:val="99"/>
    <w:unhideWhenUsed/>
    <w:rsid w:val="00440A85"/>
    <w:rPr>
      <w:color w:val="0000FF"/>
      <w:u w:val="single"/>
    </w:rPr>
  </w:style>
  <w:style w:type="paragraph" w:customStyle="1" w:styleId="titlersos">
    <w:name w:val="title rsos"/>
    <w:basedOn w:val="Normal"/>
    <w:link w:val="titlersosChar"/>
    <w:qFormat/>
    <w:rsid w:val="00440A85"/>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440A85"/>
    <w:rPr>
      <w:rFonts w:ascii="MyriadPro-Cond" w:eastAsia="Times New Roman" w:hAnsi="MyriadPro-Cond" w:cs="Times New Roman"/>
      <w:b/>
      <w:sz w:val="36"/>
      <w:szCs w:val="36"/>
      <w:lang w:eastAsia="en-GB"/>
    </w:rPr>
  </w:style>
  <w:style w:type="paragraph" w:styleId="BalloonText">
    <w:name w:val="Balloon Text"/>
    <w:basedOn w:val="Normal"/>
    <w:link w:val="BalloonTextChar"/>
    <w:uiPriority w:val="99"/>
    <w:rsid w:val="00440A85"/>
    <w:rPr>
      <w:rFonts w:ascii="Tahoma" w:hAnsi="Tahoma" w:cs="Tahoma"/>
      <w:sz w:val="16"/>
      <w:szCs w:val="16"/>
    </w:rPr>
  </w:style>
  <w:style w:type="character" w:customStyle="1" w:styleId="BalloonTextChar">
    <w:name w:val="Balloon Text Char"/>
    <w:basedOn w:val="DefaultParagraphFont"/>
    <w:link w:val="BalloonText"/>
    <w:uiPriority w:val="99"/>
    <w:rsid w:val="00440A85"/>
    <w:rPr>
      <w:rFonts w:ascii="Tahoma" w:eastAsia="Times New Roman" w:hAnsi="Tahoma" w:cs="Tahoma"/>
      <w:sz w:val="16"/>
      <w:szCs w:val="16"/>
      <w:lang w:eastAsia="en-GB"/>
    </w:rPr>
  </w:style>
  <w:style w:type="paragraph" w:styleId="NormalWeb">
    <w:name w:val="Normal (Web)"/>
    <w:basedOn w:val="Normal"/>
    <w:uiPriority w:val="99"/>
    <w:unhideWhenUsed/>
    <w:rsid w:val="00440A85"/>
    <w:pPr>
      <w:spacing w:before="100" w:beforeAutospacing="1" w:after="100" w:afterAutospacing="1"/>
    </w:pPr>
    <w:rPr>
      <w:szCs w:val="24"/>
    </w:rPr>
  </w:style>
  <w:style w:type="character" w:styleId="CommentReference">
    <w:name w:val="annotation reference"/>
    <w:basedOn w:val="DefaultParagraphFont"/>
    <w:uiPriority w:val="99"/>
    <w:rsid w:val="00440A85"/>
    <w:rPr>
      <w:sz w:val="16"/>
      <w:szCs w:val="16"/>
    </w:rPr>
  </w:style>
  <w:style w:type="paragraph" w:styleId="CommentText">
    <w:name w:val="annotation text"/>
    <w:basedOn w:val="Normal"/>
    <w:link w:val="CommentTextChar"/>
    <w:uiPriority w:val="99"/>
    <w:rsid w:val="00440A85"/>
    <w:rPr>
      <w:sz w:val="20"/>
    </w:rPr>
  </w:style>
  <w:style w:type="character" w:customStyle="1" w:styleId="CommentTextChar">
    <w:name w:val="Comment Text Char"/>
    <w:basedOn w:val="DefaultParagraphFont"/>
    <w:link w:val="CommentText"/>
    <w:uiPriority w:val="99"/>
    <w:rsid w:val="00440A8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rsid w:val="00440A85"/>
    <w:rPr>
      <w:b/>
      <w:bCs/>
    </w:rPr>
  </w:style>
  <w:style w:type="character" w:customStyle="1" w:styleId="CommentSubjectChar">
    <w:name w:val="Comment Subject Char"/>
    <w:basedOn w:val="CommentTextChar"/>
    <w:link w:val="CommentSubject"/>
    <w:uiPriority w:val="99"/>
    <w:rsid w:val="00440A85"/>
    <w:rPr>
      <w:rFonts w:ascii="Times New Roman" w:eastAsia="Times New Roman" w:hAnsi="Times New Roman" w:cs="Times New Roman"/>
      <w:b/>
      <w:bCs/>
      <w:sz w:val="20"/>
      <w:szCs w:val="20"/>
      <w:lang w:eastAsia="en-GB"/>
    </w:rPr>
  </w:style>
  <w:style w:type="character" w:styleId="FollowedHyperlink">
    <w:name w:val="FollowedHyperlink"/>
    <w:basedOn w:val="DefaultParagraphFont"/>
    <w:rsid w:val="00440A85"/>
    <w:rPr>
      <w:color w:val="954F72" w:themeColor="followedHyperlink"/>
      <w:u w:val="single"/>
    </w:rPr>
  </w:style>
  <w:style w:type="paragraph" w:styleId="Header">
    <w:name w:val="header"/>
    <w:basedOn w:val="Normal"/>
    <w:link w:val="HeaderChar"/>
    <w:uiPriority w:val="99"/>
    <w:rsid w:val="00440A85"/>
    <w:pPr>
      <w:tabs>
        <w:tab w:val="center" w:pos="4513"/>
        <w:tab w:val="right" w:pos="9026"/>
      </w:tabs>
    </w:pPr>
  </w:style>
  <w:style w:type="character" w:customStyle="1" w:styleId="HeaderChar">
    <w:name w:val="Header Char"/>
    <w:basedOn w:val="DefaultParagraphFont"/>
    <w:link w:val="Header"/>
    <w:uiPriority w:val="99"/>
    <w:rsid w:val="00440A85"/>
    <w:rPr>
      <w:rFonts w:ascii="Times New Roman" w:eastAsia="Times New Roman" w:hAnsi="Times New Roman" w:cs="Times New Roman"/>
      <w:sz w:val="24"/>
      <w:szCs w:val="20"/>
      <w:lang w:eastAsia="en-GB"/>
    </w:rPr>
  </w:style>
  <w:style w:type="paragraph" w:styleId="Footer">
    <w:name w:val="footer"/>
    <w:basedOn w:val="Normal"/>
    <w:link w:val="FooterChar"/>
    <w:uiPriority w:val="99"/>
    <w:rsid w:val="00440A85"/>
    <w:pPr>
      <w:tabs>
        <w:tab w:val="center" w:pos="4513"/>
        <w:tab w:val="right" w:pos="9026"/>
      </w:tabs>
    </w:pPr>
  </w:style>
  <w:style w:type="character" w:customStyle="1" w:styleId="FooterChar">
    <w:name w:val="Footer Char"/>
    <w:basedOn w:val="DefaultParagraphFont"/>
    <w:link w:val="Footer"/>
    <w:uiPriority w:val="99"/>
    <w:rsid w:val="00440A85"/>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sid w:val="00440A85"/>
    <w:rPr>
      <w:color w:val="808080"/>
    </w:rPr>
  </w:style>
  <w:style w:type="character" w:customStyle="1" w:styleId="fontstyle01">
    <w:name w:val="fontstyle01"/>
    <w:basedOn w:val="DefaultParagraphFont"/>
    <w:rsid w:val="00440A85"/>
    <w:rPr>
      <w:rFonts w:ascii="TimesNewRoman" w:hAnsi="TimesNewRoman"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440A85"/>
    <w:rPr>
      <w:color w:val="808080"/>
      <w:shd w:val="clear" w:color="auto" w:fill="E6E6E6"/>
    </w:rPr>
  </w:style>
  <w:style w:type="table" w:styleId="TableGrid">
    <w:name w:val="Table Grid"/>
    <w:basedOn w:val="TableNormal"/>
    <w:uiPriority w:val="39"/>
    <w:rsid w:val="00440A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0A85"/>
    <w:pPr>
      <w:spacing w:after="0" w:line="240" w:lineRule="auto"/>
    </w:pPr>
    <w:rPr>
      <w:lang w:val="en-US"/>
    </w:rPr>
  </w:style>
  <w:style w:type="character" w:styleId="LineNumber">
    <w:name w:val="line number"/>
    <w:basedOn w:val="DefaultParagraphFont"/>
    <w:uiPriority w:val="99"/>
    <w:semiHidden/>
    <w:unhideWhenUsed/>
    <w:rsid w:val="00440A85"/>
  </w:style>
  <w:style w:type="paragraph" w:styleId="Revision">
    <w:name w:val="Revision"/>
    <w:hidden/>
    <w:uiPriority w:val="99"/>
    <w:semiHidden/>
    <w:rsid w:val="00440A85"/>
    <w:pPr>
      <w:spacing w:after="0" w:line="240" w:lineRule="auto"/>
    </w:pPr>
    <w:rPr>
      <w:lang w:val="en-US"/>
    </w:rPr>
  </w:style>
  <w:style w:type="paragraph" w:styleId="TOC1">
    <w:name w:val="toc 1"/>
    <w:basedOn w:val="Normal"/>
    <w:next w:val="Normal"/>
    <w:autoRedefine/>
    <w:uiPriority w:val="39"/>
    <w:unhideWhenUsed/>
    <w:rsid w:val="005353F2"/>
    <w:pPr>
      <w:tabs>
        <w:tab w:val="right" w:leader="dot" w:pos="9350"/>
      </w:tabs>
      <w:spacing w:after="100" w:line="360" w:lineRule="auto"/>
      <w:jc w:val="center"/>
    </w:pPr>
    <w:rPr>
      <w:rFonts w:eastAsiaTheme="minorHAnsi"/>
      <w:b/>
      <w:szCs w:val="24"/>
      <w:lang w:eastAsia="en-US"/>
    </w:rPr>
  </w:style>
  <w:style w:type="paragraph" w:styleId="TOC2">
    <w:name w:val="toc 2"/>
    <w:basedOn w:val="Normal"/>
    <w:next w:val="Normal"/>
    <w:autoRedefine/>
    <w:uiPriority w:val="39"/>
    <w:unhideWhenUsed/>
    <w:rsid w:val="00315AFE"/>
    <w:pPr>
      <w:spacing w:after="100" w:line="360" w:lineRule="auto"/>
      <w:ind w:left="240"/>
    </w:pPr>
    <w:rPr>
      <w:rFonts w:eastAsiaTheme="minorHAnsi"/>
      <w:szCs w:val="24"/>
      <w:lang w:eastAsia="en-US"/>
    </w:rPr>
  </w:style>
  <w:style w:type="paragraph" w:styleId="TOC3">
    <w:name w:val="toc 3"/>
    <w:basedOn w:val="Normal"/>
    <w:next w:val="Normal"/>
    <w:autoRedefine/>
    <w:uiPriority w:val="39"/>
    <w:unhideWhenUsed/>
    <w:rsid w:val="00315AFE"/>
    <w:pPr>
      <w:spacing w:after="100" w:line="360" w:lineRule="auto"/>
      <w:ind w:left="480"/>
    </w:pPr>
    <w:rPr>
      <w:rFonts w:eastAsiaTheme="minorHAnsi"/>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13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3B7D3-BE58-4F0D-9836-11A293A7F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3296</TotalTime>
  <Pages>19</Pages>
  <Words>25232</Words>
  <Characters>143825</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168720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Breder Eller, Cleiton</dc:creator>
  <cp:keywords/>
  <dc:description/>
  <cp:lastModifiedBy>Breder Eller, Cleiton</cp:lastModifiedBy>
  <cp:revision>484</cp:revision>
  <dcterms:created xsi:type="dcterms:W3CDTF">2018-03-05T13:31:00Z</dcterms:created>
  <dcterms:modified xsi:type="dcterms:W3CDTF">2018-09-12T08:46:00Z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6581fb52-e4eb-38a5-9784-de5800f61dfb</vt:lpwstr>
  </property>
  <property fmtid="{D5CDD505-2E9C-101B-9397-08002B2CF9AE}" pid="4" name="Mendeley Citation Style_1">
    <vt:lpwstr>http://www.zotero.org/styles/proceedings-of-the-royal-society-b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http://www.zotero.org/styles/cell</vt:lpwstr>
  </property>
  <property fmtid="{D5CDD505-2E9C-101B-9397-08002B2CF9AE}" pid="14" name="Mendeley Recent Style Name 4_1">
    <vt:lpwstr>Cell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http://www.zotero.org/styles/proceedings-of-the-royal-society-b</vt:lpwstr>
  </property>
  <property fmtid="{D5CDD505-2E9C-101B-9397-08002B2CF9AE}" pid="24" name="Mendeley Recent Style Name 9_1">
    <vt:lpwstr>Proceedings of the Royal Society B</vt:lpwstr>
  </property>
</Properties>
</file>