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numPr>
          <w:ilvl w:val="2"/>
          <w:numId w:val="2"/>
        </w:numPr>
        <w:spacing w:before="140" w:after="120"/>
        <w:ind w:left="0" w:right="0" w:hanging="0"/>
        <w:jc w:val="center"/>
        <w:rPr/>
      </w:pPr>
      <w:r>
        <w:rPr/>
        <w:t>Appendix S2 to"</w:t>
      </w:r>
      <w:r>
        <w:rPr>
          <w:color w:val="00000A"/>
          <w:lang w:val="en-GB"/>
        </w:rPr>
        <w:t>Ecological specialisation is significantly associated with genetic structure"</w:t>
      </w:r>
    </w:p>
    <w:p>
      <w:pPr>
        <w:pStyle w:val="TextBody"/>
        <w:jc w:val="center"/>
        <w:rPr>
          <w:color w:val="00000A"/>
          <w:lang w:val="en-GB"/>
        </w:rPr>
      </w:pPr>
      <w:r>
        <w:rPr>
          <w:color w:val="00000A"/>
          <w:lang w:val="en-GB"/>
        </w:rPr>
      </w:r>
    </w:p>
    <w:p>
      <w:pPr>
        <w:pStyle w:val="Normal"/>
        <w:spacing w:lineRule="auto" w:line="360"/>
        <w:jc w:val="both"/>
        <w:rPr>
          <w:color w:val="00000A"/>
          <w:lang w:val="en-US"/>
        </w:rPr>
      </w:pPr>
      <w:r>
        <w:rPr>
          <w:b/>
          <w:color w:val="00000A"/>
          <w:lang w:val="en-GB"/>
        </w:rPr>
        <w:t>Table S3.</w:t>
      </w:r>
      <w:r>
        <w:rPr>
          <w:color w:val="00000A"/>
          <w:lang w:val="en-GB"/>
        </w:rPr>
        <w:t xml:space="preserve"> Results from generalized linear mixed models. Response variables were re-sampled to account for a potential bias introduced by uneven sample sizes. Values were calculated after randomly selecting five specimens per species 1000 times and averaged thereafter. All calculations were carried out using the “MCMCglmm” package in R with </w:t>
      </w:r>
      <w:r>
        <w:rPr>
          <w:color w:val="00000A"/>
          <w:lang w:val="en-US"/>
        </w:rPr>
        <w:t>1.3×10</w:t>
      </w:r>
      <w:r>
        <w:rPr>
          <w:color w:val="00000A"/>
          <w:vertAlign w:val="superscript"/>
          <w:lang w:val="en-US"/>
        </w:rPr>
        <w:t>6</w:t>
      </w:r>
      <w:r>
        <w:rPr>
          <w:color w:val="00000A"/>
          <w:lang w:val="en-GB"/>
        </w:rPr>
        <w:t xml:space="preserve"> iterations, and a burn-in period of </w:t>
      </w:r>
      <w:r>
        <w:rPr>
          <w:color w:val="00000A"/>
          <w:lang w:val="en-US"/>
        </w:rPr>
        <w:t>3×10</w:t>
      </w:r>
      <w:r>
        <w:rPr>
          <w:color w:val="00000A"/>
          <w:vertAlign w:val="superscript"/>
          <w:lang w:val="en-US"/>
        </w:rPr>
        <w:t>5</w:t>
      </w:r>
      <w:r>
        <w:rPr>
          <w:color w:val="00000A"/>
          <w:lang w:val="en-GB"/>
        </w:rPr>
        <w:t xml:space="preserve"> iterations. Phylogeny (Fig. S1) was included as a random effect in all models. Significant P-values are printed in bold.</w:t>
      </w:r>
    </w:p>
    <w:tbl>
      <w:tblPr>
        <w:tblW w:w="9990" w:type="dxa"/>
        <w:jc w:val="left"/>
        <w:tblInd w:w="109" w:type="dxa"/>
        <w:tblBorders>
          <w:top w:val="single" w:sz="4" w:space="0" w:color="00000A"/>
          <w:bottom w:val="single" w:sz="4" w:space="0" w:color="00000A"/>
          <w:insideH w:val="single" w:sz="4" w:space="0" w:color="00000A"/>
        </w:tblBorders>
        <w:tblCellMar>
          <w:top w:w="0" w:type="dxa"/>
          <w:left w:w="108" w:type="dxa"/>
          <w:bottom w:w="0" w:type="dxa"/>
          <w:right w:w="108" w:type="dxa"/>
        </w:tblCellMar>
      </w:tblPr>
      <w:tblGrid>
        <w:gridCol w:w="1399"/>
        <w:gridCol w:w="2632"/>
        <w:gridCol w:w="1187"/>
        <w:gridCol w:w="1341"/>
        <w:gridCol w:w="1282"/>
        <w:gridCol w:w="1078"/>
        <w:gridCol w:w="1070"/>
      </w:tblGrid>
      <w:tr>
        <w:trPr>
          <w:trHeight w:val="300" w:hRule="atLeast"/>
        </w:trPr>
        <w:tc>
          <w:tcPr>
            <w:tcW w:w="1399" w:type="dxa"/>
            <w:tcBorders>
              <w:top w:val="single" w:sz="4" w:space="0" w:color="00000A"/>
              <w:bottom w:val="single" w:sz="4" w:space="0" w:color="00000A"/>
              <w:insideH w:val="single" w:sz="4" w:space="0" w:color="00000A"/>
            </w:tcBorders>
            <w:shd w:fill="FFFFFF" w:val="clear"/>
            <w:vAlign w:val="bottom"/>
          </w:tcPr>
          <w:p>
            <w:pPr>
              <w:pStyle w:val="Normal"/>
              <w:spacing w:lineRule="auto" w:line="240" w:before="0" w:after="0"/>
              <w:jc w:val="left"/>
              <w:rPr>
                <w:rFonts w:eastAsia="Times New Roman"/>
                <w:b/>
                <w:b/>
                <w:sz w:val="22"/>
                <w:lang w:val="en-GB" w:eastAsia="en-GB"/>
              </w:rPr>
            </w:pPr>
            <w:r>
              <w:rPr>
                <w:rFonts w:eastAsia="Times New Roman" w:ascii="Times New Roman" w:hAnsi="Times New Roman"/>
                <w:b/>
                <w:sz w:val="22"/>
                <w:szCs w:val="22"/>
                <w:lang w:val="en-GB" w:eastAsia="en-GB"/>
              </w:rPr>
              <w:t>Response variable</w:t>
            </w:r>
          </w:p>
        </w:tc>
        <w:tc>
          <w:tcPr>
            <w:tcW w:w="2632" w:type="dxa"/>
            <w:tcBorders>
              <w:top w:val="single" w:sz="4" w:space="0" w:color="00000A"/>
              <w:bottom w:val="single" w:sz="4" w:space="0" w:color="00000A"/>
              <w:insideH w:val="single" w:sz="4" w:space="0" w:color="00000A"/>
            </w:tcBorders>
            <w:shd w:fill="FFFFFF" w:val="clear"/>
            <w:vAlign w:val="bottom"/>
          </w:tcPr>
          <w:p>
            <w:pPr>
              <w:pStyle w:val="Normal"/>
              <w:spacing w:lineRule="auto" w:line="240" w:before="0" w:after="0"/>
              <w:jc w:val="left"/>
              <w:rPr>
                <w:rFonts w:ascii="Times New Roman" w:hAnsi="Times New Roman"/>
                <w:sz w:val="22"/>
                <w:szCs w:val="22"/>
              </w:rPr>
            </w:pPr>
            <w:r>
              <w:rPr>
                <w:rFonts w:eastAsia="Times New Roman" w:ascii="Times New Roman" w:hAnsi="Times New Roman"/>
                <w:b/>
                <w:sz w:val="22"/>
                <w:szCs w:val="22"/>
                <w:lang w:val="en-GB" w:eastAsia="en-GB"/>
              </w:rPr>
              <w:t>Fixed effects</w:t>
            </w:r>
          </w:p>
        </w:tc>
        <w:tc>
          <w:tcPr>
            <w:tcW w:w="1187" w:type="dxa"/>
            <w:tcBorders>
              <w:top w:val="single" w:sz="4" w:space="0" w:color="00000A"/>
              <w:bottom w:val="single" w:sz="4" w:space="0" w:color="00000A"/>
              <w:insideH w:val="single" w:sz="4" w:space="0" w:color="00000A"/>
            </w:tcBorders>
            <w:shd w:fill="FFFFFF" w:val="clear"/>
            <w:vAlign w:val="bottom"/>
          </w:tcPr>
          <w:p>
            <w:pPr>
              <w:pStyle w:val="Normal"/>
              <w:spacing w:lineRule="auto" w:line="240" w:before="0" w:after="0"/>
              <w:jc w:val="left"/>
              <w:rPr>
                <w:rFonts w:ascii="Times New Roman" w:hAnsi="Times New Roman"/>
                <w:sz w:val="22"/>
                <w:szCs w:val="22"/>
              </w:rPr>
            </w:pPr>
            <w:r>
              <w:rPr>
                <w:rFonts w:eastAsia="Times New Roman" w:ascii="Times New Roman" w:hAnsi="Times New Roman"/>
                <w:b/>
                <w:sz w:val="22"/>
                <w:szCs w:val="22"/>
                <w:lang w:val="en-GB" w:eastAsia="en-GB"/>
              </w:rPr>
              <w:t>Posterior mean</w:t>
            </w:r>
          </w:p>
        </w:tc>
        <w:tc>
          <w:tcPr>
            <w:tcW w:w="1341" w:type="dxa"/>
            <w:tcBorders>
              <w:top w:val="single" w:sz="4" w:space="0" w:color="00000A"/>
              <w:bottom w:val="single" w:sz="4" w:space="0" w:color="00000A"/>
              <w:insideH w:val="single" w:sz="4" w:space="0" w:color="00000A"/>
            </w:tcBorders>
            <w:shd w:fill="FFFFFF" w:val="clear"/>
            <w:vAlign w:val="bottom"/>
          </w:tcPr>
          <w:p>
            <w:pPr>
              <w:pStyle w:val="Normal"/>
              <w:spacing w:lineRule="auto" w:line="240" w:before="0" w:after="0"/>
              <w:jc w:val="left"/>
              <w:rPr>
                <w:rFonts w:ascii="Times New Roman" w:hAnsi="Times New Roman"/>
                <w:sz w:val="22"/>
                <w:szCs w:val="22"/>
              </w:rPr>
            </w:pPr>
            <w:r>
              <w:rPr>
                <w:rFonts w:eastAsia="Times New Roman" w:ascii="Times New Roman" w:hAnsi="Times New Roman"/>
                <w:b/>
                <w:sz w:val="22"/>
                <w:szCs w:val="22"/>
                <w:lang w:val="en-GB" w:eastAsia="en-GB"/>
              </w:rPr>
              <w:t>Lower 95% Confidence Limit</w:t>
            </w:r>
          </w:p>
        </w:tc>
        <w:tc>
          <w:tcPr>
            <w:tcW w:w="1282" w:type="dxa"/>
            <w:tcBorders>
              <w:top w:val="single" w:sz="4" w:space="0" w:color="00000A"/>
              <w:bottom w:val="single" w:sz="4" w:space="0" w:color="00000A"/>
              <w:insideH w:val="single" w:sz="4" w:space="0" w:color="00000A"/>
            </w:tcBorders>
            <w:shd w:fill="FFFFFF" w:val="clear"/>
            <w:vAlign w:val="bottom"/>
          </w:tcPr>
          <w:p>
            <w:pPr>
              <w:pStyle w:val="Normal"/>
              <w:spacing w:lineRule="auto" w:line="240" w:before="0" w:after="0"/>
              <w:jc w:val="left"/>
              <w:rPr>
                <w:rFonts w:eastAsia="Times New Roman"/>
                <w:b/>
                <w:b/>
                <w:sz w:val="22"/>
                <w:lang w:val="en-GB" w:eastAsia="en-GB"/>
              </w:rPr>
            </w:pPr>
            <w:r>
              <w:rPr>
                <w:rFonts w:eastAsia="Times New Roman" w:ascii="Times New Roman" w:hAnsi="Times New Roman"/>
                <w:b/>
                <w:sz w:val="22"/>
                <w:szCs w:val="22"/>
                <w:lang w:val="en-GB" w:eastAsia="en-GB"/>
              </w:rPr>
              <w:t>Upper 95% Confidence Limit</w:t>
            </w:r>
          </w:p>
        </w:tc>
        <w:tc>
          <w:tcPr>
            <w:tcW w:w="1078" w:type="dxa"/>
            <w:tcBorders>
              <w:top w:val="single" w:sz="4" w:space="0" w:color="00000A"/>
              <w:bottom w:val="single" w:sz="4" w:space="0" w:color="00000A"/>
              <w:insideH w:val="single" w:sz="4" w:space="0" w:color="00000A"/>
            </w:tcBorders>
            <w:shd w:fill="FFFFFF" w:val="clear"/>
            <w:vAlign w:val="bottom"/>
          </w:tcPr>
          <w:p>
            <w:pPr>
              <w:pStyle w:val="Normal"/>
              <w:spacing w:lineRule="auto" w:line="240" w:before="0" w:after="0"/>
              <w:jc w:val="left"/>
              <w:rPr>
                <w:rFonts w:eastAsia="Times New Roman"/>
                <w:b/>
                <w:b/>
                <w:sz w:val="22"/>
                <w:lang w:val="en-GB" w:eastAsia="en-GB"/>
              </w:rPr>
            </w:pPr>
            <w:r>
              <w:rPr>
                <w:rFonts w:eastAsia="Times New Roman" w:ascii="Times New Roman" w:hAnsi="Times New Roman"/>
                <w:b/>
                <w:sz w:val="22"/>
                <w:szCs w:val="22"/>
                <w:lang w:val="en-GB" w:eastAsia="en-GB"/>
              </w:rPr>
              <w:t>Effective sample size (ESS)</w:t>
            </w:r>
          </w:p>
        </w:tc>
        <w:tc>
          <w:tcPr>
            <w:tcW w:w="1070" w:type="dxa"/>
            <w:tcBorders>
              <w:top w:val="single" w:sz="4" w:space="0" w:color="00000A"/>
              <w:bottom w:val="single" w:sz="4" w:space="0" w:color="00000A"/>
              <w:insideH w:val="single" w:sz="4" w:space="0" w:color="00000A"/>
            </w:tcBorders>
            <w:shd w:fill="FFFFFF" w:val="clear"/>
            <w:vAlign w:val="bottom"/>
          </w:tcPr>
          <w:p>
            <w:pPr>
              <w:pStyle w:val="Normal"/>
              <w:spacing w:lineRule="auto" w:line="240" w:before="0" w:after="0"/>
              <w:jc w:val="left"/>
              <w:rPr>
                <w:rFonts w:ascii="Times New Roman" w:hAnsi="Times New Roman"/>
                <w:sz w:val="22"/>
                <w:szCs w:val="22"/>
              </w:rPr>
            </w:pPr>
            <w:r>
              <w:rPr>
                <w:rFonts w:eastAsia="Times New Roman" w:ascii="Times New Roman" w:hAnsi="Times New Roman"/>
                <w:b/>
                <w:bCs/>
                <w:sz w:val="22"/>
                <w:szCs w:val="22"/>
                <w:lang w:val="en-GB" w:eastAsia="en-GB"/>
              </w:rPr>
              <w:t xml:space="preserve">MCMC </w:t>
            </w:r>
            <w:r>
              <w:rPr>
                <w:rFonts w:eastAsia="Times New Roman" w:ascii="Times New Roman" w:hAnsi="Times New Roman"/>
                <w:b/>
                <w:bCs/>
                <w:i/>
                <w:sz w:val="22"/>
                <w:szCs w:val="22"/>
                <w:lang w:val="en-GB" w:eastAsia="en-GB"/>
              </w:rPr>
              <w:t>P</w:t>
            </w:r>
            <w:r>
              <w:rPr>
                <w:rFonts w:eastAsia="Times New Roman" w:ascii="Times New Roman" w:hAnsi="Times New Roman"/>
                <w:b/>
                <w:bCs/>
                <w:sz w:val="22"/>
                <w:szCs w:val="22"/>
                <w:lang w:val="en-GB" w:eastAsia="en-GB"/>
              </w:rPr>
              <w:t>-value</w:t>
            </w:r>
          </w:p>
        </w:tc>
      </w:tr>
      <w:tr>
        <w:trPr>
          <w:trHeight w:val="300" w:hRule="atLeast"/>
        </w:trPr>
        <w:tc>
          <w:tcPr>
            <w:tcW w:w="9989" w:type="dxa"/>
            <w:gridSpan w:val="7"/>
            <w:tcBorders>
              <w:top w:val="single" w:sz="4" w:space="0" w:color="00000A"/>
              <w:bottom w:val="single" w:sz="4" w:space="0" w:color="00000A"/>
              <w:insideH w:val="single" w:sz="4" w:space="0" w:color="00000A"/>
            </w:tcBorders>
            <w:shd w:fill="FFFFFF" w:val="clear"/>
            <w:vAlign w:val="bottom"/>
          </w:tcPr>
          <w:p>
            <w:pPr>
              <w:pStyle w:val="Normal"/>
              <w:spacing w:lineRule="auto" w:line="240" w:before="0" w:after="0"/>
              <w:jc w:val="center"/>
              <w:rPr>
                <w:rFonts w:eastAsia="Times New Roman"/>
                <w:b/>
                <w:b/>
                <w:sz w:val="22"/>
                <w:lang w:val="en-GB" w:eastAsia="en-GB"/>
              </w:rPr>
            </w:pPr>
            <w:r>
              <w:rPr>
                <w:rFonts w:eastAsia="Times New Roman" w:ascii="Times New Roman" w:hAnsi="Times New Roman"/>
                <w:b/>
                <w:sz w:val="22"/>
                <w:szCs w:val="22"/>
                <w:lang w:val="en-GB" w:eastAsia="en-GB"/>
              </w:rPr>
              <w:t>MICROEVOLUTION</w:t>
            </w:r>
          </w:p>
        </w:tc>
      </w:tr>
      <w:tr>
        <w:trPr>
          <w:trHeight w:val="334" w:hRule="atLeast"/>
        </w:trPr>
        <w:tc>
          <w:tcPr>
            <w:tcW w:w="1399" w:type="dxa"/>
            <w:vMerge w:val="restart"/>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eastAsia="Times New Roman" w:ascii="Times New Roman" w:hAnsi="Times New Roman"/>
                <w:sz w:val="22"/>
                <w:szCs w:val="22"/>
                <w:lang w:val="en-GB" w:eastAsia="en-GB"/>
              </w:rPr>
              <w:t>Maximum divergence, N = 5, each species’ mean of 10</w:t>
            </w:r>
            <w:r>
              <w:rPr>
                <w:rFonts w:eastAsia="Times New Roman" w:ascii="Times New Roman" w:hAnsi="Times New Roman"/>
                <w:sz w:val="22"/>
                <w:szCs w:val="22"/>
                <w:vertAlign w:val="superscript"/>
                <w:lang w:val="en-GB" w:eastAsia="en-GB"/>
              </w:rPr>
              <w:t xml:space="preserve">3 </w:t>
            </w:r>
            <w:r>
              <w:rPr>
                <w:rFonts w:eastAsia="Times New Roman" w:ascii="Times New Roman" w:hAnsi="Times New Roman"/>
                <w:sz w:val="22"/>
                <w:szCs w:val="22"/>
                <w:lang w:val="en-GB" w:eastAsia="en-GB"/>
              </w:rPr>
              <w:t>iterations</w:t>
            </w:r>
          </w:p>
          <w:p>
            <w:pPr>
              <w:pStyle w:val="Normal"/>
              <w:spacing w:lineRule="auto" w:line="240" w:before="0" w:after="0"/>
              <w:jc w:val="left"/>
              <w:rPr>
                <w:rFonts w:ascii="Times New Roman" w:hAnsi="Times New Roman" w:eastAsia="Times New Roman"/>
                <w:sz w:val="22"/>
                <w:szCs w:val="22"/>
                <w:lang w:val="en-GB" w:eastAsia="en-GB"/>
              </w:rPr>
            </w:pPr>
            <w:r>
              <w:rPr>
                <w:rFonts w:eastAsia="Times New Roman" w:ascii="Times New Roman" w:hAnsi="Times New Roman"/>
                <w:sz w:val="22"/>
                <w:szCs w:val="22"/>
                <w:lang w:val="en-GB" w:eastAsia="en-GB"/>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Ant specialisation</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eastAsia="en-GB"/>
              </w:rPr>
              <w:t>0.02794</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eastAsia="en-GB"/>
              </w:rPr>
              <w:t>0.00320</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eastAsia="en-GB"/>
              </w:rPr>
              <w:t>0.05331</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eastAsia="Times New Roman" w:ascii="Times New Roman" w:hAnsi="Times New Roman"/>
                <w:sz w:val="22"/>
                <w:szCs w:val="22"/>
                <w:lang w:val="en-GB" w:eastAsia="en-GB"/>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b/>
                <w:b/>
                <w:bCs/>
              </w:rPr>
            </w:pPr>
            <w:r>
              <w:rPr>
                <w:rFonts w:ascii="Times New Roman" w:hAnsi="Times New Roman"/>
                <w:b/>
                <w:bCs/>
                <w:i w:val="false"/>
                <w:strike w:val="false"/>
                <w:dstrike w:val="false"/>
                <w:outline w:val="false"/>
                <w:shadow w:val="false"/>
                <w:sz w:val="22"/>
                <w:szCs w:val="22"/>
                <w:u w:val="none"/>
                <w:em w:val="none"/>
                <w:lang w:eastAsia="en-GB"/>
              </w:rPr>
              <w:t>0.034</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Plant specialisation</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eastAsia="en-GB"/>
              </w:rPr>
              <w:t>0.01683</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eastAsia="en-GB"/>
              </w:rPr>
              <w:t>0.00273</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eastAsia="en-GB"/>
              </w:rPr>
              <w:t>0.03137</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eastAsia="Times New Roman" w:ascii="Times New Roman" w:hAnsi="Times New Roman"/>
                <w:b w:val="false"/>
                <w:i w:val="false"/>
                <w:strike w:val="false"/>
                <w:dstrike w:val="false"/>
                <w:outline w:val="false"/>
                <w:shadow w:val="false"/>
                <w:sz w:val="22"/>
                <w:szCs w:val="22"/>
                <w:u w:val="none"/>
                <w:em w:val="none"/>
                <w:lang w:val="en-GB" w:eastAsia="en-GB"/>
              </w:rPr>
              <w:t>2128</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b/>
                <w:b/>
                <w:bCs/>
              </w:rPr>
            </w:pPr>
            <w:r>
              <w:rPr>
                <w:rFonts w:ascii="Times New Roman" w:hAnsi="Times New Roman"/>
                <w:b/>
                <w:bCs/>
                <w:i w:val="false"/>
                <w:strike w:val="false"/>
                <w:dstrike w:val="false"/>
                <w:outline w:val="false"/>
                <w:shadow w:val="false"/>
                <w:sz w:val="22"/>
                <w:szCs w:val="22"/>
                <w:u w:val="none"/>
                <w:em w:val="none"/>
                <w:lang w:eastAsia="en-GB"/>
              </w:rPr>
              <w:t>0.017</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Ant specialisation &amp; Plant specialisation</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eastAsia="en-GB"/>
              </w:rPr>
              <w:t>-0.02881</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sz w:val="22"/>
                <w:lang w:eastAsia="en-GB"/>
              </w:rPr>
            </w:pPr>
            <w:r>
              <w:rPr>
                <w:rFonts w:ascii="Times New Roman" w:hAnsi="Times New Roman"/>
                <w:b w:val="false"/>
                <w:i w:val="false"/>
                <w:strike w:val="false"/>
                <w:dstrike w:val="false"/>
                <w:outline w:val="false"/>
                <w:shadow w:val="false"/>
                <w:sz w:val="22"/>
                <w:szCs w:val="22"/>
                <w:u w:val="none"/>
                <w:em w:val="none"/>
                <w:lang w:eastAsia="en-GB"/>
              </w:rPr>
              <w:t>-0.06849</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eastAsia="en-GB"/>
              </w:rPr>
              <w:t>0.01100</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eastAsia="Times New Roman" w:ascii="Times New Roman" w:hAnsi="Times New Roman"/>
                <w:sz w:val="22"/>
                <w:szCs w:val="22"/>
                <w:lang w:val="en-GB" w:eastAsia="en-GB"/>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eastAsia="en-GB"/>
              </w:rPr>
              <w:t>0.175</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sz w:val="22"/>
              </w:rPr>
            </w:pPr>
            <w:r>
              <w:rPr>
                <w:rFonts w:ascii="Times New Roman" w:hAnsi="Times New Roman"/>
                <w:sz w:val="22"/>
                <w:szCs w:val="22"/>
              </w:rPr>
              <w:t>Carnivory</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eastAsia="en-GB"/>
              </w:rPr>
              <w:t>0.02431</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eastAsia="en-GB"/>
              </w:rPr>
              <w:t>-0.01352</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eastAsia="en-GB"/>
              </w:rPr>
              <w:t>0.06202</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eastAsia="Times New Roman" w:ascii="Times New Roman" w:hAnsi="Times New Roman"/>
                <w:sz w:val="22"/>
                <w:szCs w:val="22"/>
                <w:lang w:val="en-GB" w:eastAsia="en-GB"/>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eastAsia="en-GB"/>
              </w:rPr>
              <w:t>0.221</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Average geographic distance between samples</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eastAsia="en-GB"/>
              </w:rPr>
              <w:t>0.00002</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eastAsia="en-GB"/>
              </w:rPr>
              <w:t>0.00001</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eastAsia="en-GB"/>
              </w:rPr>
              <w:t>0.00002</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eastAsia="Times New Roman" w:ascii="Times New Roman" w:hAnsi="Times New Roman"/>
                <w:sz w:val="22"/>
                <w:szCs w:val="22"/>
                <w:lang w:val="en-GB" w:eastAsia="en-GB"/>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bCs/>
                <w:sz w:val="22"/>
                <w:szCs w:val="22"/>
                <w:lang w:val="en-US" w:eastAsia="en-GB"/>
              </w:rPr>
              <w:t>&lt;0.001</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sz w:val="22"/>
              </w:rPr>
            </w:pPr>
            <w:r>
              <w:rPr>
                <w:rFonts w:ascii="Times New Roman" w:hAnsi="Times New Roman"/>
                <w:sz w:val="22"/>
                <w:szCs w:val="22"/>
              </w:rPr>
              <w:t>Body size (wingspan mm)</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eastAsia="en-GB"/>
              </w:rPr>
              <w:t>0.00149</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eastAsia="en-GB"/>
              </w:rPr>
              <w:t>0.00066</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eastAsia="en-GB"/>
              </w:rPr>
              <w:t>0.00234</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eastAsia="Times New Roman" w:ascii="Times New Roman" w:hAnsi="Times New Roman"/>
                <w:b w:val="false"/>
                <w:i w:val="false"/>
                <w:strike w:val="false"/>
                <w:dstrike w:val="false"/>
                <w:outline w:val="false"/>
                <w:shadow w:val="false"/>
                <w:sz w:val="22"/>
                <w:szCs w:val="22"/>
                <w:u w:val="none"/>
                <w:em w:val="none"/>
                <w:lang w:val="en-GB" w:eastAsia="en-GB"/>
              </w:rPr>
              <w:t>2481</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bCs/>
                <w:sz w:val="22"/>
                <w:szCs w:val="22"/>
                <w:lang w:val="en-US" w:eastAsia="en-GB"/>
              </w:rPr>
              <w:t>0.001</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eastAsia="Times New Roman"/>
                <w:sz w:val="22"/>
                <w:szCs w:val="22"/>
                <w:lang w:val="en-GB" w:eastAsia="en-GB"/>
              </w:rPr>
            </w:pPr>
            <w:r>
              <w:rPr>
                <w:rFonts w:eastAsia="Times New Roman" w:ascii="Times New Roman" w:hAnsi="Times New Roman"/>
                <w:sz w:val="22"/>
                <w:szCs w:val="22"/>
                <w:lang w:val="en-GB" w:eastAsia="en-GB"/>
              </w:rPr>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ascii="Times New Roman" w:hAnsi="Times New Roman"/>
                <w:sz w:val="22"/>
                <w:szCs w:val="22"/>
              </w:rPr>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ascii="Times New Roman" w:hAnsi="Times New Roman"/>
                <w:sz w:val="22"/>
                <w:szCs w:val="22"/>
              </w:rPr>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lang w:val="en-US"/>
              </w:rPr>
            </w:pPr>
            <w:r>
              <w:rPr>
                <w:rFonts w:ascii="Times New Roman" w:hAnsi="Times New Roman"/>
                <w:sz w:val="22"/>
                <w:szCs w:val="22"/>
                <w:lang w:val="en-US"/>
              </w:rPr>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eastAsia="Times New Roman"/>
                <w:sz w:val="22"/>
                <w:szCs w:val="22"/>
                <w:lang w:val="en-GB" w:eastAsia="en-GB"/>
              </w:rPr>
            </w:pPr>
            <w:r>
              <w:rPr>
                <w:rFonts w:eastAsia="Times New Roman" w:ascii="Times New Roman" w:hAnsi="Times New Roman"/>
                <w:sz w:val="22"/>
                <w:szCs w:val="22"/>
                <w:lang w:val="en-GB" w:eastAsia="en-GB"/>
              </w:rPr>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ascii="Times New Roman" w:hAnsi="Times New Roman"/>
                <w:sz w:val="22"/>
                <w:szCs w:val="22"/>
              </w:rPr>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 xml:space="preserve">Obligate ant parasites vs. obligate ant mutualists </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0.00789</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-0.05571</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0.0647</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eastAsia="Times New Roman" w:ascii="Times New Roman" w:hAnsi="Times New Roman"/>
                <w:sz w:val="22"/>
                <w:szCs w:val="22"/>
                <w:lang w:val="en-GB" w:eastAsia="en-GB"/>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0.784</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Average geographic distance between samples</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0.00002</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-0.00001</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0.00005</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eastAsia="Times New Roman"/>
                <w:sz w:val="22"/>
                <w:lang w:val="en-GB" w:eastAsia="en-GB"/>
              </w:rPr>
            </w:pPr>
            <w:r>
              <w:rPr>
                <w:rFonts w:eastAsia="Times New Roman" w:ascii="Times New Roman" w:hAnsi="Times New Roman"/>
                <w:sz w:val="22"/>
                <w:szCs w:val="22"/>
                <w:lang w:val="en-GB" w:eastAsia="en-GB"/>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0.225</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Body Size (wingspan mm)</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0.00195</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-0.00104</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0.00481</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eastAsia="Times New Roman" w:ascii="Times New Roman" w:hAnsi="Times New Roman"/>
                <w:sz w:val="22"/>
                <w:szCs w:val="22"/>
                <w:lang w:val="en-GB" w:eastAsia="en-GB"/>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0.199</w:t>
            </w:r>
          </w:p>
        </w:tc>
      </w:tr>
      <w:tr>
        <w:trPr>
          <w:trHeight w:val="300" w:hRule="atLeast"/>
        </w:trPr>
        <w:tc>
          <w:tcPr>
            <w:tcW w:w="1399"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eastAsia="Times New Roman"/>
                <w:sz w:val="22"/>
                <w:szCs w:val="22"/>
                <w:lang w:val="en-GB" w:eastAsia="en-GB"/>
              </w:rPr>
            </w:pPr>
            <w:r>
              <w:rPr>
                <w:rFonts w:eastAsia="Times New Roman" w:ascii="Times New Roman" w:hAnsi="Times New Roman"/>
                <w:sz w:val="22"/>
                <w:szCs w:val="22"/>
                <w:lang w:val="en-GB" w:eastAsia="en-GB"/>
              </w:rPr>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eastAsia="Times New Roman"/>
                <w:sz w:val="22"/>
                <w:szCs w:val="22"/>
                <w:lang w:val="en-GB" w:eastAsia="en-GB"/>
              </w:rPr>
            </w:pPr>
            <w:r>
              <w:rPr>
                <w:rFonts w:eastAsia="Times New Roman" w:ascii="Times New Roman" w:hAnsi="Times New Roman"/>
                <w:sz w:val="22"/>
                <w:szCs w:val="22"/>
                <w:lang w:val="en-GB" w:eastAsia="en-GB"/>
              </w:rPr>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ascii="Times New Roman" w:hAnsi="Times New Roman"/>
                <w:sz w:val="22"/>
                <w:szCs w:val="22"/>
              </w:rPr>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ascii="Times New Roman" w:hAnsi="Times New Roman"/>
                <w:sz w:val="22"/>
                <w:szCs w:val="22"/>
              </w:rPr>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eastAsia="Times New Roman"/>
                <w:sz w:val="22"/>
                <w:szCs w:val="22"/>
                <w:lang w:val="en-GB" w:eastAsia="en-GB"/>
              </w:rPr>
            </w:pPr>
            <w:r>
              <w:rPr>
                <w:rFonts w:eastAsia="Times New Roman" w:ascii="Times New Roman" w:hAnsi="Times New Roman"/>
                <w:sz w:val="22"/>
                <w:szCs w:val="22"/>
                <w:lang w:val="en-GB" w:eastAsia="en-GB"/>
              </w:rPr>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eastAsia="Times New Roman"/>
                <w:sz w:val="22"/>
                <w:szCs w:val="22"/>
                <w:lang w:val="en-GB" w:eastAsia="en-GB"/>
              </w:rPr>
            </w:pPr>
            <w:r>
              <w:rPr>
                <w:rFonts w:eastAsia="Times New Roman" w:ascii="Times New Roman" w:hAnsi="Times New Roman"/>
                <w:sz w:val="22"/>
                <w:szCs w:val="22"/>
                <w:lang w:val="en-GB" w:eastAsia="en-GB"/>
              </w:rPr>
            </w:r>
          </w:p>
        </w:tc>
      </w:tr>
      <w:tr>
        <w:trPr>
          <w:trHeight w:val="300" w:hRule="atLeast"/>
        </w:trPr>
        <w:tc>
          <w:tcPr>
            <w:tcW w:w="1399" w:type="dxa"/>
            <w:vMerge w:val="restart"/>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eastAsia="Times New Roman" w:ascii="Times New Roman" w:hAnsi="Times New Roman"/>
                <w:sz w:val="22"/>
                <w:szCs w:val="22"/>
                <w:lang w:val="en-GB" w:eastAsia="en-GB"/>
              </w:rPr>
              <w:t>Haplotype diversity(</w:t>
            </w:r>
            <w:r>
              <w:rPr>
                <w:rFonts w:eastAsia="Times New Roman" w:ascii="Times New Roman" w:hAnsi="Times New Roman"/>
                <w:i/>
                <w:sz w:val="22"/>
                <w:szCs w:val="22"/>
                <w:lang w:val="en-GB" w:eastAsia="en-GB"/>
              </w:rPr>
              <w:t>h</w:t>
            </w:r>
            <w:r>
              <w:rPr>
                <w:rFonts w:eastAsia="Times New Roman" w:ascii="Times New Roman" w:hAnsi="Times New Roman"/>
                <w:sz w:val="22"/>
                <w:szCs w:val="22"/>
                <w:lang w:val="en-GB" w:eastAsia="en-GB"/>
              </w:rPr>
              <w:t>), N = 5, each species’ mean of 10</w:t>
            </w:r>
            <w:r>
              <w:rPr>
                <w:rFonts w:eastAsia="Times New Roman" w:ascii="Times New Roman" w:hAnsi="Times New Roman"/>
                <w:sz w:val="22"/>
                <w:szCs w:val="22"/>
                <w:vertAlign w:val="superscript"/>
                <w:lang w:val="en-GB" w:eastAsia="en-GB"/>
              </w:rPr>
              <w:t xml:space="preserve">3 </w:t>
            </w:r>
            <w:r>
              <w:rPr>
                <w:rFonts w:eastAsia="Times New Roman" w:ascii="Times New Roman" w:hAnsi="Times New Roman"/>
                <w:sz w:val="22"/>
                <w:szCs w:val="22"/>
                <w:lang w:val="en-GB" w:eastAsia="en-GB"/>
              </w:rPr>
              <w:t>iterations</w:t>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Ant specialisation</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0.15650</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-0.00406</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0.30340</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eastAsia="Times New Roman" w:ascii="Times New Roman" w:hAnsi="Times New Roman"/>
                <w:b w:val="false"/>
                <w:i w:val="false"/>
                <w:strike w:val="false"/>
                <w:dstrike w:val="false"/>
                <w:outline w:val="false"/>
                <w:shadow w:val="false"/>
                <w:sz w:val="22"/>
                <w:szCs w:val="22"/>
                <w:u w:val="none"/>
                <w:em w:val="none"/>
                <w:lang w:val="en-GB" w:eastAsia="en-GB"/>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bCs/>
                <w:i w:val="false"/>
                <w:strike w:val="false"/>
                <w:dstrike w:val="false"/>
                <w:outline w:val="false"/>
                <w:shadow w:val="false"/>
                <w:sz w:val="22"/>
                <w:szCs w:val="22"/>
                <w:u w:val="none"/>
                <w:em w:val="none"/>
              </w:rPr>
              <w:t>0.053</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Plant specialisation</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0.1355</w:t>
            </w:r>
            <w:r>
              <w:rPr>
                <w:rFonts w:ascii="Times New Roman" w:hAnsi="Times New Roman"/>
                <w:sz w:val="22"/>
                <w:szCs w:val="22"/>
              </w:rPr>
              <w:t>0</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0.05008</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0.22840</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eastAsia="Times New Roman" w:ascii="Times New Roman" w:hAnsi="Times New Roman"/>
                <w:b w:val="false"/>
                <w:i w:val="false"/>
                <w:strike w:val="false"/>
                <w:dstrike w:val="false"/>
                <w:outline w:val="false"/>
                <w:shadow w:val="false"/>
                <w:sz w:val="22"/>
                <w:szCs w:val="22"/>
                <w:u w:val="none"/>
                <w:em w:val="none"/>
                <w:lang w:val="en-GB" w:eastAsia="en-GB"/>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b/>
                <w:b/>
                <w:bCs/>
              </w:rPr>
            </w:pPr>
            <w:r>
              <w:rPr>
                <w:rFonts w:ascii="Times New Roman" w:hAnsi="Times New Roman"/>
                <w:b/>
                <w:bCs/>
                <w:i w:val="false"/>
                <w:strike w:val="false"/>
                <w:dstrike w:val="false"/>
                <w:outline w:val="false"/>
                <w:shadow w:val="false"/>
                <w:sz w:val="22"/>
                <w:szCs w:val="22"/>
                <w:u w:val="none"/>
                <w:em w:val="none"/>
              </w:rPr>
              <w:t>0.003</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Ant specialisation &amp; Plant specialisation</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-0.01858</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-0.28220</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eastAsia="en-GB"/>
              </w:rPr>
              <w:t>0.25640</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eastAsia="Times New Roman" w:ascii="Times New Roman" w:hAnsi="Times New Roman"/>
                <w:b w:val="false"/>
                <w:i w:val="false"/>
                <w:strike w:val="false"/>
                <w:dstrike w:val="false"/>
                <w:outline w:val="false"/>
                <w:shadow w:val="false"/>
                <w:sz w:val="22"/>
                <w:szCs w:val="22"/>
                <w:u w:val="none"/>
                <w:em w:val="none"/>
                <w:lang w:val="en-GB" w:eastAsia="en-GB"/>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0.888</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Carnivory</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0.13130</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-0.07781</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0.35850</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eastAsia="Times New Roman" w:ascii="Times New Roman" w:hAnsi="Times New Roman"/>
                <w:b w:val="false"/>
                <w:i w:val="false"/>
                <w:strike w:val="false"/>
                <w:dstrike w:val="false"/>
                <w:outline w:val="false"/>
                <w:shadow w:val="false"/>
                <w:sz w:val="22"/>
                <w:szCs w:val="22"/>
                <w:u w:val="none"/>
                <w:em w:val="none"/>
                <w:lang w:val="en-GB" w:eastAsia="en-GB"/>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0.225</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Average geographic distance between samples</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0.00004</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0.00001</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0.00008</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eastAsia="Times New Roman" w:ascii="Times New Roman" w:hAnsi="Times New Roman"/>
                <w:b w:val="false"/>
                <w:i w:val="false"/>
                <w:strike w:val="false"/>
                <w:dstrike w:val="false"/>
                <w:outline w:val="false"/>
                <w:shadow w:val="false"/>
                <w:sz w:val="22"/>
                <w:szCs w:val="22"/>
                <w:u w:val="none"/>
                <w:em w:val="none"/>
                <w:lang w:val="en-GB" w:eastAsia="en-GB"/>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b/>
                <w:b/>
                <w:bCs/>
              </w:rPr>
            </w:pPr>
            <w:r>
              <w:rPr>
                <w:rFonts w:ascii="Times New Roman" w:hAnsi="Times New Roman"/>
                <w:b/>
                <w:bCs/>
                <w:i w:val="false"/>
                <w:strike w:val="false"/>
                <w:dstrike w:val="false"/>
                <w:outline w:val="false"/>
                <w:shadow w:val="false"/>
                <w:sz w:val="22"/>
                <w:szCs w:val="22"/>
                <w:u w:val="none"/>
                <w:em w:val="none"/>
              </w:rPr>
              <w:t>0.021</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Sample size</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GB"/>
              </w:rPr>
              <w:t>-0.00022</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-0.00077</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0.00029</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eastAsia="Times New Roman" w:ascii="Times New Roman" w:hAnsi="Times New Roman"/>
                <w:b w:val="false"/>
                <w:i w:val="false"/>
                <w:strike w:val="false"/>
                <w:dstrike w:val="false"/>
                <w:outline w:val="false"/>
                <w:shadow w:val="false"/>
                <w:sz w:val="22"/>
                <w:szCs w:val="22"/>
                <w:u w:val="none"/>
                <w:em w:val="none"/>
                <w:lang w:val="en-GB" w:eastAsia="en-GB"/>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0.442</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Body size (wingspan mm)</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GB"/>
              </w:rPr>
              <w:t>0.00644</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0.00104</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0.01181</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eastAsia="Times New Roman" w:ascii="Times New Roman" w:hAnsi="Times New Roman"/>
                <w:b w:val="false"/>
                <w:i w:val="false"/>
                <w:strike w:val="false"/>
                <w:dstrike w:val="false"/>
                <w:outline w:val="false"/>
                <w:shadow w:val="false"/>
                <w:sz w:val="22"/>
                <w:szCs w:val="22"/>
                <w:u w:val="none"/>
                <w:em w:val="none"/>
                <w:lang w:val="en-GB" w:eastAsia="en-GB"/>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b/>
                <w:b/>
                <w:bCs/>
              </w:rPr>
            </w:pPr>
            <w:r>
              <w:rPr>
                <w:rFonts w:ascii="Times New Roman" w:hAnsi="Times New Roman"/>
                <w:b/>
                <w:bCs/>
                <w:i w:val="false"/>
                <w:strike w:val="false"/>
                <w:dstrike w:val="false"/>
                <w:outline w:val="false"/>
                <w:shadow w:val="false"/>
                <w:sz w:val="22"/>
                <w:szCs w:val="22"/>
                <w:u w:val="none"/>
                <w:em w:val="none"/>
              </w:rPr>
              <w:t>0.016</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eastAsia="Times New Roman"/>
                <w:sz w:val="22"/>
                <w:szCs w:val="22"/>
                <w:lang w:val="en-GB" w:eastAsia="en-GB"/>
              </w:rPr>
            </w:pPr>
            <w:r>
              <w:rPr>
                <w:rFonts w:eastAsia="Times New Roman" w:ascii="Times New Roman" w:hAnsi="Times New Roman"/>
                <w:sz w:val="22"/>
                <w:szCs w:val="22"/>
                <w:lang w:val="en-GB" w:eastAsia="en-GB"/>
              </w:rPr>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lang w:val="en-GB"/>
              </w:rPr>
            </w:pPr>
            <w:r>
              <w:rPr>
                <w:rFonts w:ascii="Times New Roman" w:hAnsi="Times New Roman"/>
                <w:sz w:val="22"/>
                <w:szCs w:val="22"/>
                <w:lang w:val="en-GB"/>
              </w:rPr>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ascii="Times New Roman" w:hAnsi="Times New Roman"/>
                <w:sz w:val="22"/>
                <w:szCs w:val="22"/>
              </w:rPr>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ascii="Times New Roman" w:hAnsi="Times New Roman"/>
                <w:sz w:val="22"/>
                <w:szCs w:val="22"/>
              </w:rPr>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ascii="Times New Roman" w:hAnsi="Times New Roman"/>
                <w:sz w:val="22"/>
                <w:szCs w:val="22"/>
              </w:rPr>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ascii="Times New Roman" w:hAnsi="Times New Roman"/>
                <w:sz w:val="22"/>
                <w:szCs w:val="22"/>
              </w:rPr>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 xml:space="preserve">Obligate ant parasites vs. obligate ant mutualists </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0.02651</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-0.15880</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0.22230</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0.779</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Average geographic distance between samples</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0.00001</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-0.00008</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0.00012</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eastAsia="Times New Roman" w:ascii="Times New Roman" w:hAnsi="Times New Roman"/>
                <w:b w:val="false"/>
                <w:i w:val="false"/>
                <w:strike w:val="false"/>
                <w:dstrike w:val="false"/>
                <w:outline w:val="false"/>
                <w:shadow w:val="false"/>
                <w:sz w:val="22"/>
                <w:szCs w:val="22"/>
                <w:u w:val="none"/>
                <w:em w:val="none"/>
                <w:lang w:val="en-GB" w:eastAsia="en-GB"/>
              </w:rPr>
              <w:t>2621</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0.790</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Body size (wingspan mm)</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0.00201</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-0.00599</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0.01048</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eastAsia="Times New Roman" w:ascii="Times New Roman" w:hAnsi="Times New Roman"/>
                <w:b w:val="false"/>
                <w:i w:val="false"/>
                <w:strike w:val="false"/>
                <w:dstrike w:val="false"/>
                <w:outline w:val="false"/>
                <w:shadow w:val="false"/>
                <w:sz w:val="22"/>
                <w:szCs w:val="22"/>
                <w:u w:val="none"/>
                <w:em w:val="none"/>
                <w:lang w:val="en-GB" w:eastAsia="en-GB"/>
              </w:rPr>
              <w:t>1843</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0.638</w:t>
            </w:r>
          </w:p>
        </w:tc>
      </w:tr>
      <w:tr>
        <w:trPr>
          <w:trHeight w:val="300" w:hRule="atLeast"/>
        </w:trPr>
        <w:tc>
          <w:tcPr>
            <w:tcW w:w="1399"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eastAsia="Times New Roman"/>
                <w:sz w:val="22"/>
                <w:szCs w:val="22"/>
                <w:lang w:val="en-GB" w:eastAsia="en-GB"/>
              </w:rPr>
            </w:pPr>
            <w:r>
              <w:rPr>
                <w:rFonts w:eastAsia="Times New Roman" w:ascii="Times New Roman" w:hAnsi="Times New Roman"/>
                <w:sz w:val="22"/>
                <w:szCs w:val="22"/>
                <w:lang w:val="en-GB" w:eastAsia="en-GB"/>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eastAsia="Times New Roman"/>
                <w:sz w:val="22"/>
                <w:szCs w:val="22"/>
                <w:lang w:val="en-GB" w:eastAsia="en-GB"/>
              </w:rPr>
            </w:pPr>
            <w:r>
              <w:rPr>
                <w:rFonts w:eastAsia="Times New Roman" w:ascii="Times New Roman" w:hAnsi="Times New Roman"/>
                <w:sz w:val="22"/>
                <w:szCs w:val="22"/>
                <w:lang w:val="en-GB" w:eastAsia="en-GB"/>
              </w:rPr>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ascii="Times New Roman" w:hAnsi="Times New Roman"/>
                <w:sz w:val="22"/>
                <w:szCs w:val="22"/>
              </w:rPr>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ascii="Times New Roman" w:hAnsi="Times New Roman"/>
                <w:sz w:val="22"/>
                <w:szCs w:val="22"/>
              </w:rPr>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ascii="Times New Roman" w:hAnsi="Times New Roman"/>
                <w:sz w:val="22"/>
                <w:szCs w:val="22"/>
              </w:rPr>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lang w:val="en-US"/>
              </w:rPr>
            </w:pPr>
            <w:r>
              <w:rPr>
                <w:rFonts w:ascii="Times New Roman" w:hAnsi="Times New Roman"/>
                <w:sz w:val="22"/>
                <w:szCs w:val="22"/>
                <w:lang w:val="en-US"/>
              </w:rPr>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ascii="Times New Roman" w:hAnsi="Times New Roman"/>
                <w:sz w:val="22"/>
                <w:szCs w:val="22"/>
              </w:rPr>
            </w:r>
          </w:p>
        </w:tc>
      </w:tr>
      <w:tr>
        <w:trPr>
          <w:trHeight w:val="300" w:hRule="atLeast"/>
        </w:trPr>
        <w:tc>
          <w:tcPr>
            <w:tcW w:w="1399" w:type="dxa"/>
            <w:vMerge w:val="restart"/>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eastAsia="Times New Roman" w:ascii="Times New Roman" w:hAnsi="Times New Roman"/>
                <w:sz w:val="22"/>
                <w:szCs w:val="22"/>
                <w:lang w:val="en-GB" w:eastAsia="en-GB"/>
              </w:rPr>
              <w:t xml:space="preserve">Isolation by distance (IBD) coefficient </w:t>
            </w:r>
            <w:r>
              <w:rPr>
                <w:rFonts w:eastAsia="Times New Roman" w:ascii="Times New Roman" w:hAnsi="Times New Roman"/>
                <w:i/>
                <w:iCs/>
                <w:sz w:val="22"/>
                <w:szCs w:val="22"/>
                <w:lang w:val="en-GB" w:eastAsia="en-GB"/>
              </w:rPr>
              <w:t>r</w:t>
            </w:r>
            <w:r>
              <w:rPr>
                <w:rFonts w:eastAsia="Times New Roman" w:ascii="Times New Roman" w:hAnsi="Times New Roman"/>
                <w:sz w:val="22"/>
                <w:szCs w:val="22"/>
                <w:lang w:val="en-GB" w:eastAsia="en-GB"/>
              </w:rPr>
              <w:t>, N = 5, each species’ mean of 10</w:t>
            </w:r>
            <w:r>
              <w:rPr>
                <w:rFonts w:eastAsia="Times New Roman" w:ascii="Times New Roman" w:hAnsi="Times New Roman"/>
                <w:sz w:val="22"/>
                <w:szCs w:val="22"/>
                <w:vertAlign w:val="superscript"/>
                <w:lang w:val="en-GB" w:eastAsia="en-GB"/>
              </w:rPr>
              <w:t xml:space="preserve">3 </w:t>
            </w:r>
            <w:r>
              <w:rPr>
                <w:rFonts w:eastAsia="Times New Roman" w:ascii="Times New Roman" w:hAnsi="Times New Roman"/>
                <w:sz w:val="22"/>
                <w:szCs w:val="22"/>
                <w:lang w:val="en-GB" w:eastAsia="en-GB"/>
              </w:rPr>
              <w:t>iterations</w:t>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Ant specialisation</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0.05234</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-0.12650</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rPr>
              <w:t>0.24130</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rPr>
              <w:t>1606</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rPr>
              <w:t>0.606</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Plant specialisation</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0.05383</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-0.05716</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0.16740</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rPr>
              <w:t>2000</w:t>
            </w:r>
          </w:p>
          <w:p>
            <w:pPr>
              <w:pStyle w:val="Normal"/>
              <w:spacing w:lineRule="auto" w:line="240"/>
              <w:rPr>
                <w:rFonts w:ascii="Times New Roman" w:hAnsi="Times New Roman"/>
                <w:sz w:val="22"/>
                <w:szCs w:val="22"/>
                <w:lang w:val="en-US"/>
              </w:rPr>
            </w:pPr>
            <w:r>
              <w:rPr>
                <w:rFonts w:ascii="Times New Roman" w:hAnsi="Times New Roman"/>
                <w:sz w:val="22"/>
                <w:szCs w:val="22"/>
                <w:lang w:val="en-US"/>
              </w:rPr>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0.370</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Ant specialisation &amp; Plant specialisation</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-0.06775</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-0.38410</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0.25170</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0.682</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Carnivory</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0.42650</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0.15700</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0.69300</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b/>
                <w:b/>
                <w:bCs/>
              </w:rPr>
            </w:pPr>
            <w:r>
              <w:rPr>
                <w:rFonts w:ascii="Times New Roman" w:hAnsi="Times New Roman"/>
                <w:b/>
                <w:bCs/>
                <w:i w:val="false"/>
                <w:strike w:val="false"/>
                <w:dstrike w:val="false"/>
                <w:outline w:val="false"/>
                <w:shadow w:val="false"/>
                <w:sz w:val="22"/>
                <w:szCs w:val="22"/>
                <w:u w:val="none"/>
                <w:em w:val="none"/>
              </w:rPr>
              <w:t>0.001</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Average geographic distance between samples</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-0.00030</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-0.00008</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0.00002</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rPr>
              <w:t>1585</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0.295</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Body size (wingspan mm)</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0.00256</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-0.00447</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0.00976</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0.464</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eastAsia="Times New Roman"/>
                <w:sz w:val="22"/>
                <w:szCs w:val="22"/>
                <w:lang w:val="en-GB" w:eastAsia="en-GB"/>
              </w:rPr>
            </w:pPr>
            <w:r>
              <w:rPr>
                <w:rFonts w:eastAsia="Times New Roman" w:ascii="Times New Roman" w:hAnsi="Times New Roman"/>
                <w:sz w:val="22"/>
                <w:szCs w:val="22"/>
                <w:lang w:val="en-GB" w:eastAsia="en-GB"/>
              </w:rPr>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ascii="Times New Roman" w:hAnsi="Times New Roman"/>
                <w:sz w:val="22"/>
                <w:szCs w:val="22"/>
              </w:rPr>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ascii="Times New Roman" w:hAnsi="Times New Roman"/>
                <w:sz w:val="22"/>
                <w:szCs w:val="22"/>
              </w:rPr>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ascii="Times New Roman" w:hAnsi="Times New Roman"/>
                <w:sz w:val="22"/>
                <w:szCs w:val="22"/>
              </w:rPr>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lang w:val="en-US"/>
              </w:rPr>
            </w:pPr>
            <w:r>
              <w:rPr>
                <w:rFonts w:ascii="Times New Roman" w:hAnsi="Times New Roman"/>
                <w:sz w:val="22"/>
                <w:szCs w:val="22"/>
                <w:lang w:val="en-US"/>
              </w:rPr>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ascii="Times New Roman" w:hAnsi="Times New Roman"/>
                <w:sz w:val="22"/>
                <w:szCs w:val="22"/>
              </w:rPr>
            </w:pPr>
            <w:r>
              <w:rPr>
                <w:rFonts w:ascii="Times New Roman" w:hAnsi="Times New Roman"/>
                <w:sz w:val="22"/>
                <w:szCs w:val="22"/>
              </w:rPr>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 xml:space="preserve">Obligate ant parasites vs. obligate ant mutualists </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0.24320</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-0.07447</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0.56250</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0.119</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Average geographic distance between samples</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0.00009</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-0.00008</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0.00026</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0.292</w:t>
            </w:r>
          </w:p>
        </w:tc>
      </w:tr>
      <w:tr>
        <w:trPr>
          <w:trHeight w:val="300" w:hRule="atLeast"/>
        </w:trPr>
        <w:tc>
          <w:tcPr>
            <w:tcW w:w="1399" w:type="dxa"/>
            <w:vMerge w:val="continue"/>
            <w:tcBorders>
              <w:top w:val="single" w:sz="4" w:space="0" w:color="00000A"/>
              <w:bottom w:val="single" w:sz="4" w:space="0" w:color="00000A"/>
              <w:insideH w:val="single" w:sz="4" w:space="0" w:color="00000A"/>
            </w:tcBorders>
            <w:shd w:fill="FFFFFF" w:val="clear"/>
          </w:tcPr>
          <w:p>
            <w:pPr>
              <w:pStyle w:val="Normal"/>
              <w:rPr>
                <w:rFonts w:ascii="Times New Roman" w:hAnsi="Times New Roman"/>
                <w:sz w:val="22"/>
                <w:szCs w:val="22"/>
              </w:rPr>
            </w:pPr>
            <w:r>
              <w:rPr>
                <w:rFonts w:ascii="Times New Roman" w:hAnsi="Times New Roman"/>
                <w:sz w:val="22"/>
                <w:szCs w:val="22"/>
              </w:rPr>
            </w:r>
          </w:p>
        </w:tc>
        <w:tc>
          <w:tcPr>
            <w:tcW w:w="263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left"/>
              <w:rPr>
                <w:rFonts w:eastAsia="Times New Roman"/>
                <w:sz w:val="22"/>
                <w:lang w:val="en-GB" w:eastAsia="en-GB"/>
              </w:rPr>
            </w:pPr>
            <w:r>
              <w:rPr>
                <w:rFonts w:eastAsia="Times New Roman" w:ascii="Times New Roman" w:hAnsi="Times New Roman"/>
                <w:sz w:val="22"/>
                <w:szCs w:val="22"/>
                <w:lang w:val="en-GB" w:eastAsia="en-GB"/>
              </w:rPr>
              <w:t>Body size (wingspan mm)</w:t>
            </w:r>
          </w:p>
        </w:tc>
        <w:tc>
          <w:tcPr>
            <w:tcW w:w="1187"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-0.00012</w:t>
            </w:r>
          </w:p>
        </w:tc>
        <w:tc>
          <w:tcPr>
            <w:tcW w:w="1341"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-0.01530</w:t>
            </w:r>
          </w:p>
        </w:tc>
        <w:tc>
          <w:tcPr>
            <w:tcW w:w="1282"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0.01615</w:t>
            </w:r>
          </w:p>
        </w:tc>
        <w:tc>
          <w:tcPr>
            <w:tcW w:w="1078"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lang w:val="en-US"/>
              </w:rPr>
              <w:t>2000</w:t>
            </w:r>
          </w:p>
        </w:tc>
        <w:tc>
          <w:tcPr>
            <w:tcW w:w="1070" w:type="dxa"/>
            <w:tcBorders>
              <w:top w:val="single" w:sz="4" w:space="0" w:color="00000A"/>
              <w:bottom w:val="single" w:sz="4" w:space="0" w:color="00000A"/>
              <w:insideH w:val="single" w:sz="4" w:space="0" w:color="00000A"/>
            </w:tcBorders>
            <w:shd w:fill="FFFFFF" w:val="clear"/>
          </w:tcPr>
          <w:p>
            <w:pPr>
              <w:pStyle w:val="Normal"/>
              <w:spacing w:lineRule="auto" w:line="240" w:before="0" w:after="0"/>
              <w:jc w:val="right"/>
              <w:rPr>
                <w:sz w:val="22"/>
              </w:rPr>
            </w:pPr>
            <w:r>
              <w:rPr>
                <w:rFonts w:ascii="Times New Roman" w:hAnsi="Times New Roman"/>
                <w:b w:val="false"/>
                <w:i w:val="false"/>
                <w:strike w:val="false"/>
                <w:dstrike w:val="false"/>
                <w:outline w:val="false"/>
                <w:shadow w:val="false"/>
                <w:sz w:val="22"/>
                <w:szCs w:val="22"/>
                <w:u w:val="none"/>
                <w:em w:val="none"/>
              </w:rPr>
              <w:t>0.987</w:t>
            </w:r>
          </w:p>
        </w:tc>
      </w:tr>
    </w:tbl>
    <w:p>
      <w:pPr>
        <w:pStyle w:val="Heading2"/>
        <w:spacing w:lineRule="auto" w:line="360"/>
        <w:jc w:val="both"/>
        <w:rPr>
          <w:color w:val="00000A"/>
          <w:lang w:val="en-US"/>
        </w:rPr>
      </w:pPr>
      <w:r>
        <w:rPr>
          <w:color w:val="00000A"/>
          <w:lang w:val="en-US"/>
        </w:rPr>
        <w:t>Acknowledgements</w:t>
      </w:r>
    </w:p>
    <w:p>
      <w:pPr>
        <w:pStyle w:val="Normal"/>
        <w:jc w:val="both"/>
        <w:rPr/>
      </w:pPr>
      <w:r>
        <w:rPr>
          <w:color w:val="00000A"/>
          <w:lang w:val="en-US"/>
        </w:rPr>
        <w:t xml:space="preserve">This study could not have been achieved without the specimens and data contributed by many scientists and available through BOLD and GenBank. We thank C. Adams, J. Adams, T. Alario, T.D. Als, G. Ardeleanu, A. Atkins, A.J. Berry, M.F. Braby, E. Brockmann, S.S. Brown, E. Buck, D. Campbell, M. Canfield, F. Carasa, J. Ciampini, K. Cockburn, V. Colomer, S. Cuvelier, A.V. Danchenko, J. Dantart, L. Dapporto, V. Dincă, M. Djuric, K.L. Dunn, D. Edge, M. Engra, </w:t>
      </w:r>
      <w:r>
        <w:rPr>
          <w:color w:val="00000A"/>
          <w:lang w:val="en-GB"/>
        </w:rPr>
        <w:t>M. Erazo</w:t>
      </w:r>
      <w:r>
        <w:rPr>
          <w:color w:val="00000A"/>
          <w:lang w:val="en-US"/>
        </w:rPr>
        <w:t xml:space="preserve">, </w:t>
      </w:r>
      <w:r>
        <w:rPr>
          <w:color w:val="00000A"/>
          <w:lang w:val="en-GB"/>
        </w:rPr>
        <w:t>S. Ercić</w:t>
      </w:r>
      <w:r>
        <w:rPr>
          <w:color w:val="00000A"/>
          <w:lang w:val="en-US"/>
        </w:rPr>
        <w:t xml:space="preserve">, </w:t>
      </w:r>
      <w:r>
        <w:rPr>
          <w:color w:val="00000A"/>
          <w:lang w:val="en-GB"/>
        </w:rPr>
        <w:t>J. Estela</w:t>
      </w:r>
      <w:r>
        <w:rPr>
          <w:color w:val="00000A"/>
          <w:lang w:val="en-US"/>
        </w:rPr>
        <w:t xml:space="preserve">, </w:t>
      </w:r>
      <w:r>
        <w:rPr>
          <w:color w:val="00000A"/>
          <w:lang w:val="en-GB"/>
        </w:rPr>
        <w:t>S. Fisher</w:t>
      </w:r>
      <w:r>
        <w:rPr>
          <w:color w:val="00000A"/>
          <w:lang w:val="en-US"/>
        </w:rPr>
        <w:t xml:space="preserve">, </w:t>
      </w:r>
      <w:r>
        <w:rPr>
          <w:color w:val="00000A"/>
          <w:lang w:val="en-GB"/>
        </w:rPr>
        <w:t>R. Gadeberg</w:t>
      </w:r>
      <w:r>
        <w:rPr>
          <w:color w:val="00000A"/>
          <w:lang w:val="en-US"/>
        </w:rPr>
        <w:t xml:space="preserve">, V. Gagić, Ó. García, J.A. García-Alamá, E. García-Barros, A. Gardiner, F. Gil-T., M. Goia, F. González, O. Gorbunov, E. Hasanagić, A. Heath, J. Hernández-Roldán, J.J. Herrero-Borgoñón, M. Huertas, M.A. Ibáñez-Orrico, A.A. Illum, J. Jubany, N.P. Kandul, A.I. Knight, Z. Kolev., R. Laffitte, T.B. Larsen, A. Leavesley, S. Lelo, J. Lluc, D.J. Lohman, V. Lukhtanov, P. Maina, E. Maravalhas, F. Mars, E. Martínez, D.J. Martins, J. Mathew, L. Matthews, T. McAvoy, D.N. Merrill, A. Mignault, D.L. Miller, J. Mills, M.S. Molgaard, S. Montagud, H. Mortera, M.L. Munguira, M. Mutiso, P.S. Nielsen, B. Obanda, J. Pérez-López, A. Petrović, M.J. Picó, M. Piera, J. Pino, E. Planas, G. Pratt, D. Rand, J. Requejo, L. Rieppel, I. Rodrigo, H. Romo, N. Ruzafa, M. Sanchís, J. Saruni, H. Selb, A. Sendra, A. Shapiro, N. Shapoval, N.J. Shtinkov, P.A. Sousa, C. Stefanescu, D.L. Stern, L. Szekely, D. Tan, S. Teruel, W. Tiren, Ž. Tomanović, M.A. Travassos, S. Viader, J.C. Vicente, R. Vodă, D. Wagner, M. Wah Tan, A.A.E.W. Williams, D.M. Wright, G.E. Wurtz, M. Zapater and V. Žikić for contributing DNA material. We are grateful to R. Hawkins for logistic support and S. Salzman and S.D. Kocher for help and advice in the laboratory. A. Heath, D.J. Lohman, R.K. Robbins and V. Lukhtanov contributed to the data on lycaenid specialisation, A.J. Berry, J. Seger and N.K. Whiteman provided helpful discussions about possible interpretations of population genetic parameters, and N. Wahlberg, L. Sundström, J. Eilenberg, S. Johnson and two anonymous reviewers gave useful comments on earlier versions of this manuscript.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Heading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367"/>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Regular" w:cs="FreeSans"/>
      <w:color w:val="00000A"/>
      <w:sz w:val="24"/>
      <w:szCs w:val="24"/>
      <w:lang w:val="en-US" w:eastAsia="zh-CN" w:bidi="hi-IN"/>
    </w:rPr>
  </w:style>
  <w:style w:type="paragraph" w:styleId="Heading2">
    <w:name w:val="Heading 2"/>
    <w:basedOn w:val="Normal"/>
    <w:next w:val="Normal"/>
    <w:qFormat/>
    <w:pPr>
      <w:keepNext/>
      <w:keepLines/>
      <w:spacing w:before="200" w:after="0"/>
      <w:outlineLvl w:val="1"/>
    </w:pPr>
    <w:rPr>
      <w:rFonts w:eastAsia="Times New Roman"/>
      <w:b/>
      <w:bCs/>
      <w:sz w:val="26"/>
      <w:szCs w:val="26"/>
    </w:rPr>
  </w:style>
  <w:style w:type="paragraph" w:styleId="Heading3">
    <w:name w:val="Heading 3"/>
    <w:basedOn w:val="Heading"/>
    <w:qFormat/>
    <w:pPr>
      <w:numPr>
        <w:ilvl w:val="2"/>
        <w:numId w:val="1"/>
      </w:numPr>
      <w:spacing w:before="140" w:after="120"/>
      <w:ind w:left="0" w:right="0" w:hanging="0"/>
      <w:outlineLvl w:val="2"/>
      <w:outlineLvl w:val="2"/>
    </w:pPr>
    <w:rPr>
      <w:b/>
      <w:bCs/>
      <w:sz w:val="28"/>
      <w:szCs w:val="28"/>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1337</TotalTime>
  <Application>LibreOffice/5.1.6.2$Linux_X86_64 LibreOffice_project/10m0$Build-2</Application>
  <Pages>2</Pages>
  <Words>732</Words>
  <CharactersWithSpaces>4230</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2017-08-14T12:58:01Z</dcterms:created>
  <dc:creator/>
  <dc:description/>
  <dc:language>en-US</dc:language>
  <cp:lastModifiedBy/>
  <dcterms:modified xsi:type="dcterms:W3CDTF">2018-07-27T21:47:29Z</dcterms:modified>
  <cp:revision>42</cp:revision>
  <dc:subject/>
  <dc:title/>
</cp:coreProperties>
</file>