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INFORMATION</w:t>
      </w:r>
    </w:p>
    <w:p w:rsidR="00545169" w:rsidRDefault="00545169" w:rsidP="00545169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files</w:t>
      </w:r>
      <w:r w:rsidR="00421BDA">
        <w:rPr>
          <w:rFonts w:ascii="Times New Roman" w:hAnsi="Times New Roman" w:cs="Times New Roman"/>
        </w:rPr>
        <w:t xml:space="preserve"> included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2652"/>
        <w:gridCol w:w="2955"/>
      </w:tblGrid>
      <w:tr w:rsidR="00257ED3" w:rsidTr="00257ED3">
        <w:tc>
          <w:tcPr>
            <w:tcW w:w="3403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2652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 type</w:t>
            </w:r>
          </w:p>
        </w:tc>
        <w:tc>
          <w:tcPr>
            <w:tcW w:w="2955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content</w:t>
            </w:r>
          </w:p>
        </w:tc>
      </w:tr>
      <w:tr w:rsidR="00257ED3" w:rsidTr="00257ED3">
        <w:tc>
          <w:tcPr>
            <w:tcW w:w="3403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invivoDATA.xlsx</w:t>
            </w:r>
          </w:p>
        </w:tc>
        <w:tc>
          <w:tcPr>
            <w:tcW w:w="2652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</w:t>
            </w:r>
          </w:p>
        </w:tc>
        <w:tc>
          <w:tcPr>
            <w:tcW w:w="2955" w:type="dxa"/>
          </w:tcPr>
          <w:p w:rsidR="00257ED3" w:rsidRDefault="00257ED3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data recorded from in vivo jumps</w:t>
            </w:r>
          </w:p>
        </w:tc>
      </w:tr>
      <w:tr w:rsidR="00257ED3" w:rsidTr="00257ED3">
        <w:tc>
          <w:tcPr>
            <w:tcW w:w="3403" w:type="dxa"/>
          </w:tcPr>
          <w:p w:rsidR="00257ED3" w:rsidRDefault="00344B27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344B27">
              <w:rPr>
                <w:rFonts w:ascii="Times New Roman" w:hAnsi="Times New Roman" w:cs="Times New Roman"/>
              </w:rPr>
              <w:t>SIDATA_linear.xlsx</w:t>
            </w:r>
          </w:p>
        </w:tc>
        <w:tc>
          <w:tcPr>
            <w:tcW w:w="2652" w:type="dxa"/>
          </w:tcPr>
          <w:p w:rsidR="00257ED3" w:rsidRDefault="00344B27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</w:t>
            </w:r>
          </w:p>
        </w:tc>
        <w:tc>
          <w:tcPr>
            <w:tcW w:w="2955" w:type="dxa"/>
          </w:tcPr>
          <w:p w:rsidR="00257ED3" w:rsidRDefault="00344B27" w:rsidP="00FB0DDA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Inverse dynamics and kinematics </w:t>
            </w:r>
            <w:r>
              <w:rPr>
                <w:rFonts w:ascii="Times New Roman" w:hAnsi="Times New Roman" w:cs="Times New Roman"/>
              </w:rPr>
              <w:t xml:space="preserve">time-series data output from 16 simulations using a linearly increasing IS angle. </w:t>
            </w:r>
          </w:p>
        </w:tc>
      </w:tr>
      <w:tr w:rsidR="00344B27" w:rsidTr="00257ED3">
        <w:tc>
          <w:tcPr>
            <w:tcW w:w="3403" w:type="dxa"/>
          </w:tcPr>
          <w:p w:rsidR="00344B27" w:rsidRDefault="00344B27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344B27">
              <w:rPr>
                <w:rFonts w:ascii="Times New Roman" w:hAnsi="Times New Roman" w:cs="Times New Roman"/>
              </w:rPr>
              <w:t>SIDATA_nonlinear.xlsx</w:t>
            </w:r>
          </w:p>
        </w:tc>
        <w:tc>
          <w:tcPr>
            <w:tcW w:w="2652" w:type="dxa"/>
          </w:tcPr>
          <w:p w:rsidR="00344B27" w:rsidRDefault="00344B27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Spreadsheet</w:t>
            </w:r>
          </w:p>
        </w:tc>
        <w:tc>
          <w:tcPr>
            <w:tcW w:w="2955" w:type="dxa"/>
          </w:tcPr>
          <w:p w:rsidR="00344B27" w:rsidRDefault="00344B27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Inverse dynamics and kinematics time-series data output from 16 simulations using a </w:t>
            </w:r>
            <w:r>
              <w:rPr>
                <w:rFonts w:ascii="Times New Roman" w:hAnsi="Times New Roman" w:cs="Times New Roman"/>
              </w:rPr>
              <w:t>sigmoidally</w:t>
            </w:r>
            <w:r>
              <w:rPr>
                <w:rFonts w:ascii="Times New Roman" w:hAnsi="Times New Roman" w:cs="Times New Roman"/>
              </w:rPr>
              <w:t xml:space="preserve"> increasing IS angle.</w:t>
            </w:r>
          </w:p>
        </w:tc>
      </w:tr>
      <w:tr w:rsidR="00344B27" w:rsidTr="00257ED3">
        <w:tc>
          <w:tcPr>
            <w:tcW w:w="3403" w:type="dxa"/>
          </w:tcPr>
          <w:p w:rsidR="00344B27" w:rsidRDefault="001659E6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1659E6">
              <w:rPr>
                <w:rFonts w:ascii="Times New Roman" w:hAnsi="Times New Roman" w:cs="Times New Roman"/>
              </w:rPr>
              <w:t>slerpID_SImov1.mov</w:t>
            </w:r>
          </w:p>
        </w:tc>
        <w:tc>
          <w:tcPr>
            <w:tcW w:w="2652" w:type="dxa"/>
          </w:tcPr>
          <w:p w:rsidR="00344B27" w:rsidRDefault="001659E6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344B27" w:rsidRDefault="001659E6" w:rsidP="00344B2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slerpID_SImov2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slerpID_SImov3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slerpID_SImov4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  <w:tr w:rsidR="001659E6" w:rsidTr="00257ED3">
        <w:tc>
          <w:tcPr>
            <w:tcW w:w="3403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slerpID_SImov5</w:t>
            </w:r>
            <w:r w:rsidRPr="001659E6">
              <w:rPr>
                <w:rFonts w:ascii="Times New Roman" w:hAnsi="Times New Roman" w:cs="Times New Roman"/>
              </w:rPr>
              <w:t>.mov</w:t>
            </w:r>
          </w:p>
        </w:tc>
        <w:tc>
          <w:tcPr>
            <w:tcW w:w="2652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2955" w:type="dxa"/>
          </w:tcPr>
          <w:p w:rsidR="001659E6" w:rsidRDefault="001659E6" w:rsidP="001659E6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see captions below</w:t>
            </w:r>
          </w:p>
        </w:tc>
      </w:tr>
    </w:tbl>
    <w:p w:rsidR="00257ED3" w:rsidRDefault="00257ED3" w:rsidP="00545169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</w:p>
    <w:p w:rsidR="00721B93" w:rsidRDefault="00721B93" w:rsidP="00721B9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Rig morphology and local reference frames</w:t>
      </w:r>
    </w:p>
    <w:p w:rsidR="00721B93" w:rsidRDefault="00721B93" w:rsidP="00721B93">
      <w:pPr>
        <w:rPr>
          <w:rFonts w:ascii="Times New Roman" w:hAnsi="Times New Roman" w:cs="Times New Roman"/>
        </w:rPr>
      </w:pPr>
    </w:p>
    <w:tbl>
      <w:tblPr>
        <w:tblStyle w:val="TableGrid"/>
        <w:tblW w:w="938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597"/>
        <w:gridCol w:w="2126"/>
        <w:gridCol w:w="1417"/>
        <w:gridCol w:w="1701"/>
      </w:tblGrid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Simplified segments (rounded cylinders) 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(g)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reference frame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Joint 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 degrees of freedom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joint constraints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foot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”free joint”: position/orientation with respect to ground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tarsals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1.145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foot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TMT (torso-metatarsal)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shank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tarsals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ankle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thigh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1.183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shank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knee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Pelvis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9.047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thigh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Sacro-iliac 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(hinge)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Constrained to sagittal plane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Lumped torso (spine + head + arms)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9.448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Pelvis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thigh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1.183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thigh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hip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shank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thigh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 knee 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tarsals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1.145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shank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ankle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721B93" w:rsidTr="006F7B11">
        <w:tc>
          <w:tcPr>
            <w:tcW w:w="1555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foot</w:t>
            </w:r>
          </w:p>
        </w:tc>
        <w:tc>
          <w:tcPr>
            <w:tcW w:w="992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59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tarsals</w:t>
            </w:r>
          </w:p>
        </w:tc>
        <w:tc>
          <w:tcPr>
            <w:tcW w:w="2126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TMT</w:t>
            </w:r>
          </w:p>
        </w:tc>
        <w:tc>
          <w:tcPr>
            <w:tcW w:w="1417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(ball joint)</w:t>
            </w:r>
          </w:p>
        </w:tc>
        <w:tc>
          <w:tcPr>
            <w:tcW w:w="1701" w:type="dxa"/>
          </w:tcPr>
          <w:p w:rsidR="00721B93" w:rsidRDefault="00721B93" w:rsidP="006F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721B93" w:rsidRDefault="00721B93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</w:p>
    <w:p w:rsidR="00721B93" w:rsidRDefault="00721B93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S1:  Converting joint kinematics to quaternions</w:t>
      </w:r>
      <w:r w:rsidR="00CC74A4">
        <w:rPr>
          <w:rFonts w:ascii="Times New Roman" w:hAnsi="Times New Roman" w:cs="Times New Roman"/>
        </w:rPr>
        <w:t xml:space="preserve"> (see Richards &amp; Porro, 2018 for further details).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Briefly, a unit quaternion (</w:t>
      </w:r>
      <w:r w:rsidRPr="008F7B50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) is a 4D unit vector encoding a 3D rotation axis and an angle about that axis.  Analogous to a rotation matrix (Cartesian reference frame), a </w:t>
      </w:r>
      <w:r w:rsidRPr="008F7B50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 xml:space="preserve"> encodes 3D spatial orientation whilst avoiding the numerical pitfalls of Euler angles, hence are ideal for modelling.  Disregarding long-axis orientation, each </w:t>
      </w:r>
      <w:r w:rsidRPr="000F24EB">
        <w:rPr>
          <w:rFonts w:ascii="Times New Roman" w:hAnsi="Times New Roman" w:cs="Times New Roman"/>
          <w:i/>
        </w:rPr>
        <w:t>i</w:t>
      </w:r>
      <w:r w:rsidRPr="000F24EB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</w:rPr>
        <w:t xml:space="preserve"> body segment (for a total of </w:t>
      </w:r>
      <w:r w:rsidRPr="0033548B">
        <w:rPr>
          <w:rFonts w:ascii="Times New Roman" w:hAnsi="Times New Roman" w:cs="Times New Roman"/>
          <w:i/>
        </w:rPr>
        <w:t>ns</w:t>
      </w:r>
      <w:r>
        <w:rPr>
          <w:rFonts w:ascii="Times New Roman" w:hAnsi="Times New Roman" w:cs="Times New Roman"/>
        </w:rPr>
        <w:t xml:space="preserve"> segments) on the left leg and torso is represented as a vector:</w:t>
      </w: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340"/>
      </w:tblGrid>
      <w:tr w:rsidR="00285574" w:rsidTr="00AB55B6">
        <w:trPr>
          <w:trHeight w:val="404"/>
        </w:trPr>
        <w:tc>
          <w:tcPr>
            <w:tcW w:w="6655" w:type="dxa"/>
          </w:tcPr>
          <w:p w:rsidR="00285574" w:rsidRDefault="00285574" w:rsidP="00AB55B6">
            <w:pPr>
              <w:spacing w:line="480" w:lineRule="auto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i,i+1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ns-1,  ns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=[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i+1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…,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ns-1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ns</m:t>
                    </m:r>
                  </m:sub>
                </m:sSub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2340" w:type="dxa"/>
          </w:tcPr>
          <w:p w:rsidR="00285574" w:rsidRPr="00E436F1" w:rsidRDefault="00285574" w:rsidP="00AB55B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(S1.1</w:t>
            </w:r>
            <w:r w:rsidRPr="5D03D455">
              <w:rPr>
                <w:rFonts w:ascii="Times New Roman" w:hAnsi="Times New Roman" w:cs="Times New Roman"/>
              </w:rPr>
              <w:t>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vector is used to calculate an axis of rotation between adjacent segments.  Note that it is a unit vector.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3240"/>
      </w:tblGrid>
      <w:tr w:rsidR="00285574" w:rsidTr="00AB55B6">
        <w:trPr>
          <w:trHeight w:val="288"/>
        </w:trPr>
        <w:tc>
          <w:tcPr>
            <w:tcW w:w="4770" w:type="dxa"/>
          </w:tcPr>
          <w:p w:rsidR="00285574" w:rsidRPr="00D63154" w:rsidRDefault="00421BDA" w:rsidP="00AB55B6">
            <w:pPr>
              <w:pStyle w:val="paragraph"/>
              <w:spacing w:line="480" w:lineRule="auto"/>
              <w:textAlignment w:val="baseline"/>
              <w:rPr>
                <w:rStyle w:val="eop"/>
                <w:b/>
              </w:rPr>
            </w:pPr>
            <m:oMathPara>
              <m:oMath>
                <m:sSub>
                  <m:sSubPr>
                    <m:ctrlPr>
                      <w:rPr>
                        <w:rStyle w:val="eop"/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eop"/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eop"/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Style w:val="eop"/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Style w:val="eop"/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eop"/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Style w:val="eop"/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Style w:val="eop"/>
                            <w:rFonts w:ascii="Cambria Math" w:hAnsi="Cambria Math"/>
                          </w:rPr>
                          <m:t>ref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Style w:val="eop"/>
                        <w:rFonts w:ascii="Cambria Math" w:hAnsi="Cambria Math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Style w:val="eop"/>
                        <w:rFonts w:ascii="Cambria Math" w:hAnsi="Cambria Math"/>
                      </w:rPr>
                      <m:t>v[</m:t>
                    </m:r>
                    <m:r>
                      <w:rPr>
                        <w:rStyle w:val="eop"/>
                        <w:rFonts w:ascii="Cambria Math" w:hAnsi="Cambria Math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Style w:val="eop"/>
                        <w:rFonts w:ascii="Cambria Math" w:hAnsi="Cambria Math"/>
                      </w:rPr>
                      <m:t>]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Style w:val="eop"/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eop"/>
                                <w:rFonts w:ascii="Cambria Math" w:hAnsi="Cambria Math"/>
                                <w:b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Style w:val="eop"/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eop"/>
                                <w:rFonts w:ascii="Cambria Math" w:hAnsi="Cambria Math"/>
                              </w:rPr>
                              <m:t>ref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eop"/>
                            <w:rFonts w:ascii="Cambria Math" w:hAnsi="Cambria Math"/>
                          </w:rPr>
                          <m:t>×</m:t>
                        </m:r>
                        <m:r>
                          <m:rPr>
                            <m:sty m:val="b"/>
                          </m:rPr>
                          <w:rPr>
                            <w:rStyle w:val="eop"/>
                            <w:rFonts w:ascii="Cambria Math" w:hAnsi="Cambria Math"/>
                          </w:rPr>
                          <m:t>v[</m:t>
                        </m:r>
                        <m:r>
                          <w:rPr>
                            <w:rStyle w:val="eop"/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Style w:val="eop"/>
                            <w:rFonts w:ascii="Cambria Math" w:hAnsi="Cambria Math"/>
                          </w:rPr>
                          <m:t>]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3240" w:type="dxa"/>
          </w:tcPr>
          <w:p w:rsidR="00285574" w:rsidRDefault="00285574" w:rsidP="00AB55B6">
            <w:pPr>
              <w:pStyle w:val="paragraph"/>
              <w:spacing w:line="480" w:lineRule="auto"/>
              <w:ind w:firstLine="2317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(S1.2)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33548B">
        <w:rPr>
          <w:rFonts w:ascii="Times New Roman" w:hAnsi="Times New Roman" w:cs="Times New Roman"/>
          <w:b/>
        </w:rPr>
        <w:t>V</w:t>
      </w:r>
      <w:r w:rsidRPr="0033548B">
        <w:rPr>
          <w:rFonts w:ascii="Times New Roman" w:hAnsi="Times New Roman" w:cs="Times New Roman"/>
          <w:b/>
          <w:vertAlign w:val="subscript"/>
        </w:rPr>
        <w:t>ref</w:t>
      </w:r>
      <w:r>
        <w:rPr>
          <w:rFonts w:ascii="Times New Roman" w:hAnsi="Times New Roman" w:cs="Times New Roman"/>
        </w:rPr>
        <w:t xml:space="preserve"> is a reference vector (e.g. [0, 0, 1]).  Then the angle between adjacent segments is calculated:</w:t>
      </w:r>
    </w:p>
    <w:tbl>
      <w:tblPr>
        <w:tblStyle w:val="TableGrid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4505"/>
      </w:tblGrid>
      <w:tr w:rsidR="00285574" w:rsidTr="00AB55B6">
        <w:tc>
          <w:tcPr>
            <w:tcW w:w="6840" w:type="dxa"/>
          </w:tcPr>
          <w:p w:rsidR="00285574" w:rsidRDefault="00285574" w:rsidP="00AB55B6">
            <w:pPr>
              <w:pStyle w:val="paragraph"/>
              <w:spacing w:line="480" w:lineRule="auto"/>
              <w:textAlignment w:val="baseline"/>
            </w:pPr>
            <m:oMathPara>
              <m:oMath>
                <m:r>
                  <w:rPr>
                    <w:rFonts w:ascii="Cambria Math" w:hAnsi="Cambria Math"/>
                  </w:rPr>
                  <m:t xml:space="preserve">θ=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v1</m:t>
                    </m:r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v2</m:t>
                    </m:r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v1</m:t>
                        </m:r>
                      </m:e>
                    </m:d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v2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505" w:type="dxa"/>
          </w:tcPr>
          <w:p w:rsidR="00285574" w:rsidRDefault="00285574" w:rsidP="00AB55B6">
            <w:pPr>
              <w:pStyle w:val="paragraph"/>
              <w:spacing w:line="480" w:lineRule="auto"/>
              <w:textAlignment w:val="baseline"/>
            </w:pPr>
            <w:r>
              <w:t>(S1.3)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33548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</w:rPr>
        <w:t xml:space="preserve"> and </w:t>
      </w:r>
      <w:r w:rsidRPr="0033548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</w:rPr>
        <w:t xml:space="preserve"> are adjacent segment vectors.  The axis and angle are used to compose a unit quaternion representing segment orientation (relative to the adjacent segment);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520"/>
      </w:tblGrid>
      <w:tr w:rsidR="00285574" w:rsidTr="00AB55B6">
        <w:trPr>
          <w:trHeight w:val="251"/>
        </w:trPr>
        <w:tc>
          <w:tcPr>
            <w:tcW w:w="6745" w:type="dxa"/>
          </w:tcPr>
          <w:p w:rsidR="00285574" w:rsidRDefault="00285574" w:rsidP="00AB55B6">
            <w:pPr>
              <w:spacing w:line="480" w:lineRule="auto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q</m:t>
                </m:r>
                <m:r>
                  <w:rPr>
                    <w:rFonts w:ascii="Cambria Math" w:hAnsi="Cambria Math"/>
                  </w:rPr>
                  <m:t>=[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,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ac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,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,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 ]</m:t>
                </m:r>
              </m:oMath>
            </m:oMathPara>
          </w:p>
        </w:tc>
        <w:tc>
          <w:tcPr>
            <w:tcW w:w="2520" w:type="dxa"/>
          </w:tcPr>
          <w:p w:rsidR="00285574" w:rsidRPr="00C941F4" w:rsidRDefault="00285574" w:rsidP="00AB55B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(S1.4</w:t>
            </w:r>
            <w:r w:rsidRPr="5D03D455">
              <w:rPr>
                <w:rFonts w:ascii="Times New Roman" w:hAnsi="Times New Roman" w:cs="Times New Roman"/>
              </w:rPr>
              <w:t>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DC462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vertAlign w:val="subscript"/>
        </w:rPr>
        <w:t>x,y,z</w:t>
      </w:r>
      <w:r w:rsidRPr="00DC4623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are the components of the rotation axis (Eq. S1.2) expressed as a unit vector and </w:t>
      </w:r>
      <w:r w:rsidRPr="0033548B">
        <w:rPr>
          <w:rFonts w:ascii="Symbol" w:hAnsi="Symbol" w:cs="Times New Roman"/>
        </w:rPr>
        <w:t></w:t>
      </w:r>
      <w:r>
        <w:rPr>
          <w:rFonts w:ascii="Times New Roman" w:hAnsi="Times New Roman" w:cs="Times New Roman"/>
        </w:rPr>
        <w:t xml:space="preserve"> is the angle in radians (Eq. S1.3).   Finally, the quaternions are assembled into a vector: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340"/>
      </w:tblGrid>
      <w:tr w:rsidR="00285574" w:rsidTr="00AB55B6">
        <w:trPr>
          <w:trHeight w:val="404"/>
        </w:trPr>
        <w:tc>
          <w:tcPr>
            <w:tcW w:w="6655" w:type="dxa"/>
          </w:tcPr>
          <w:p w:rsidR="00285574" w:rsidRDefault="00285574" w:rsidP="00AB55B6">
            <w:pPr>
              <w:spacing w:line="480" w:lineRule="auto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w:lastRenderedPageBreak/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i,i+1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ns-1,  ns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torso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prox.foot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340" w:type="dxa"/>
          </w:tcPr>
          <w:p w:rsidR="00285574" w:rsidRPr="00807C9A" w:rsidRDefault="00285574" w:rsidP="00AB55B6">
            <w:pPr>
              <w:spacing w:line="480" w:lineRule="auto"/>
              <w:rPr>
                <w:rFonts w:ascii="Times New Roman" w:hAnsi="Times New Roman" w:cs="Times New Roman"/>
              </w:rPr>
            </w:pPr>
            <w:r w:rsidRPr="5D03D45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S1.5</w:t>
            </w:r>
            <w:r w:rsidRPr="5D03D455">
              <w:rPr>
                <w:rFonts w:ascii="Times New Roman" w:hAnsi="Times New Roman" w:cs="Times New Roman"/>
              </w:rPr>
              <w:t>)</w:t>
            </w:r>
          </w:p>
        </w:tc>
      </w:tr>
    </w:tbl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 kinematics, expressed as unit quaternions, were smoothed by first converting them to Hopf coordinates (to preserve quaternion unity), applying a 4</w:t>
      </w:r>
      <w:r w:rsidRPr="005A6A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order polynomial fit, then converting back to unit quaternions (SI). </w:t>
      </w:r>
    </w:p>
    <w:p w:rsidR="00CC74A4" w:rsidRPr="002552C5" w:rsidRDefault="00CC74A4" w:rsidP="00CC74A4">
      <w:pPr>
        <w:rPr>
          <w:rFonts w:ascii="Times New Roman" w:eastAsia="Times New Roman" w:hAnsi="Times New Roman" w:cs="Times New Roman"/>
        </w:rPr>
      </w:pPr>
      <w:r w:rsidRPr="002552C5">
        <w:rPr>
          <w:rFonts w:ascii="Times New Roman" w:eastAsia="Times New Roman" w:hAnsi="Times New Roman" w:cs="Times New Roman"/>
        </w:rPr>
        <w:t xml:space="preserve">Richards, Christopher T., and Laura B. Porro. "A novel kinematics analysis method using quaternion interpolation–a case study in frog jumping." </w:t>
      </w:r>
      <w:r w:rsidRPr="002552C5">
        <w:rPr>
          <w:rFonts w:ascii="Times New Roman" w:eastAsia="Times New Roman" w:hAnsi="Times New Roman" w:cs="Times New Roman"/>
          <w:i/>
          <w:iCs/>
        </w:rPr>
        <w:t>Journal of theoretical biology</w:t>
      </w:r>
      <w:r w:rsidRPr="002552C5">
        <w:rPr>
          <w:rFonts w:ascii="Times New Roman" w:eastAsia="Times New Roman" w:hAnsi="Times New Roman" w:cs="Times New Roman"/>
        </w:rPr>
        <w:t xml:space="preserve"> (2018).</w:t>
      </w:r>
    </w:p>
    <w:p w:rsidR="00285574" w:rsidRDefault="00285574" w:rsidP="00CC74A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S2: Time-varying function for IS extension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IS angle (</w:t>
      </w:r>
      <w:r w:rsidRPr="0003622F">
        <w:rPr>
          <w:rFonts w:ascii="Symbol" w:hAnsi="Symbol" w:cs="Times New Roman"/>
          <w:i/>
        </w:rPr>
        <w:t></w:t>
      </w:r>
      <w:r w:rsidRPr="0003622F">
        <w:rPr>
          <w:rFonts w:ascii="Times New Roman" w:hAnsi="Times New Roman" w:cs="Times New Roman"/>
          <w:i/>
          <w:vertAlign w:val="subscript"/>
        </w:rPr>
        <w:t>IS</w:t>
      </w:r>
      <w:r>
        <w:rPr>
          <w:rFonts w:ascii="Times New Roman" w:hAnsi="Times New Roman" w:cs="Times New Roman"/>
        </w:rPr>
        <w:t xml:space="preserve">) was increased or decreased through time to mimic the action of pelvic musculature.  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700"/>
      </w:tblGrid>
      <w:tr w:rsidR="00285574" w:rsidTr="00AB55B6">
        <w:tc>
          <w:tcPr>
            <w:tcW w:w="5850" w:type="dxa"/>
          </w:tcPr>
          <w:p w:rsidR="00285574" w:rsidRPr="00BA1FF1" w:rsidRDefault="00421BDA" w:rsidP="00AB55B6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IS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=0.5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tanh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2πa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2ts-2b</m:t>
                            </m:r>
                          </m:e>
                        </m:d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>+0.5</m:t>
                </m:r>
              </m:oMath>
            </m:oMathPara>
          </w:p>
          <w:p w:rsidR="00285574" w:rsidRPr="00BA1FF1" w:rsidRDefault="00285574" w:rsidP="00AB55B6">
            <w:p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0≤ts≤36</m:t>
                </m:r>
              </m:oMath>
            </m:oMathPara>
          </w:p>
        </w:tc>
        <w:tc>
          <w:tcPr>
            <w:tcW w:w="2700" w:type="dxa"/>
          </w:tcPr>
          <w:p w:rsidR="00285574" w:rsidRDefault="00285574" w:rsidP="00AB55B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(S2.1)</w:t>
            </w:r>
          </w:p>
        </w:tc>
      </w:tr>
    </w:tbl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defined a rounded step function for </w:t>
      </w:r>
      <w:r w:rsidRPr="0003622F">
        <w:rPr>
          <w:rFonts w:ascii="Symbol" w:hAnsi="Symbol" w:cs="Times New Roman"/>
          <w:i/>
        </w:rPr>
        <w:t></w:t>
      </w:r>
      <w:r w:rsidRPr="0003622F">
        <w:rPr>
          <w:rFonts w:ascii="Times New Roman" w:hAnsi="Times New Roman" w:cs="Times New Roman"/>
          <w:i/>
          <w:vertAlign w:val="subscript"/>
        </w:rPr>
        <w:t>IS</w:t>
      </w:r>
      <w:r>
        <w:rPr>
          <w:rFonts w:ascii="Times New Roman" w:hAnsi="Times New Roman" w:cs="Times New Roman"/>
        </w:rPr>
        <w:t xml:space="preserve"> (in radians) of simulation time, </w:t>
      </w:r>
      <w:r w:rsidRPr="004C7277">
        <w:rPr>
          <w:rFonts w:ascii="Times New Roman" w:hAnsi="Times New Roman" w:cs="Times New Roman"/>
          <w:i/>
        </w:rPr>
        <w:t>ts</w:t>
      </w:r>
      <w:r>
        <w:rPr>
          <w:rFonts w:ascii="Times New Roman" w:hAnsi="Times New Roman" w:cs="Times New Roman"/>
        </w:rPr>
        <w:t xml:space="preserve">, rising from 0 to 1 at a steepness determined by </w:t>
      </w:r>
      <w:r w:rsidRPr="00731D3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and a rise onset time of </w:t>
      </w:r>
      <w:r w:rsidRPr="004C727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</w:t>
      </w:r>
      <w:r w:rsidRPr="00070E24">
        <w:rPr>
          <w:rFonts w:ascii="Times New Roman" w:hAnsi="Times New Roman" w:cs="Times New Roman"/>
          <w:color w:val="000000" w:themeColor="text1"/>
        </w:rPr>
        <w:t>(</w:t>
      </w:r>
      <w:r w:rsidRPr="00070E24">
        <w:rPr>
          <w:rFonts w:ascii="Times New Roman" w:hAnsi="Times New Roman" w:cs="Times New Roman"/>
          <w:i/>
          <w:color w:val="000000" w:themeColor="text1"/>
        </w:rPr>
        <w:t>a</w:t>
      </w:r>
      <w:r w:rsidRPr="00070E24">
        <w:rPr>
          <w:rFonts w:ascii="Times New Roman" w:hAnsi="Times New Roman" w:cs="Times New Roman"/>
          <w:color w:val="000000" w:themeColor="text1"/>
        </w:rPr>
        <w:t xml:space="preserve"> = 0.01 for non-linear versus </w:t>
      </w:r>
      <w:r w:rsidRPr="00070E24">
        <w:rPr>
          <w:rFonts w:ascii="Times New Roman" w:hAnsi="Times New Roman" w:cs="Times New Roman"/>
          <w:i/>
          <w:color w:val="000000" w:themeColor="text1"/>
        </w:rPr>
        <w:t xml:space="preserve">a </w:t>
      </w:r>
      <w:r w:rsidRPr="00070E24">
        <w:rPr>
          <w:rFonts w:ascii="Times New Roman" w:hAnsi="Times New Roman" w:cs="Times New Roman"/>
          <w:color w:val="000000" w:themeColor="text1"/>
        </w:rPr>
        <w:t xml:space="preserve">= 0.001 for ~linear;  </w:t>
      </w:r>
      <w:r w:rsidRPr="00070E24">
        <w:rPr>
          <w:rFonts w:ascii="Times New Roman" w:hAnsi="Times New Roman" w:cs="Times New Roman"/>
          <w:i/>
          <w:color w:val="000000" w:themeColor="text1"/>
        </w:rPr>
        <w:t>b</w:t>
      </w:r>
      <w:r w:rsidRPr="00070E24">
        <w:rPr>
          <w:rFonts w:ascii="Times New Roman" w:hAnsi="Times New Roman" w:cs="Times New Roman"/>
          <w:color w:val="000000" w:themeColor="text1"/>
        </w:rPr>
        <w:t xml:space="preserve"> = 30 </w:t>
      </w:r>
      <w:r>
        <w:rPr>
          <w:rFonts w:ascii="Times New Roman" w:hAnsi="Times New Roman" w:cs="Times New Roman"/>
        </w:rPr>
        <w:t>for the current study</w:t>
      </w:r>
      <w:r w:rsidR="003C620A">
        <w:rPr>
          <w:rFonts w:ascii="Times New Roman" w:hAnsi="Times New Roman" w:cs="Times New Roman"/>
        </w:rPr>
        <w:t>; Fig. S1&amp;2</w:t>
      </w:r>
      <w:r>
        <w:rPr>
          <w:rFonts w:ascii="Times New Roman" w:hAnsi="Times New Roman" w:cs="Times New Roman"/>
        </w:rPr>
        <w:t xml:space="preserve">).  The time units, </w:t>
      </w:r>
      <w:r w:rsidRPr="00CA5C4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s</w:t>
      </w:r>
      <w:r w:rsidR="003C62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are scaled to the sample frequency of the example jump used from experimental data.  To convert to absolute time, we multiply by the data capture sample interval (</w:t>
      </w:r>
      <w:r w:rsidRPr="00CA5C4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= </w:t>
      </w:r>
      <w:r w:rsidRPr="00CA5C4F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*0.004 s).  For small values of </w:t>
      </w:r>
      <w:r w:rsidRPr="00F15D6A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, (</w:t>
      </w:r>
      <w:r w:rsidRPr="001733A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~0.001) the function rises approximately linearly whereas the curve is a sigmoid approaching a step at increasing values.  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S3: Inverse Dynamics with simulated contacts (IDC)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Joint torques and ground reaction forces (GRF) were calculated by inputting kinematics into MuJoCo’s soft contact solver to solve for joint-space generalised forces, </w:t>
      </w:r>
      <w:r w:rsidRPr="00B85AC4">
        <w:rPr>
          <w:rFonts w:ascii="Symbol" w:hAnsi="Symbol" w:cs="Times New Roman"/>
          <w:b/>
        </w:rPr>
        <w:t></w:t>
      </w:r>
      <w:r>
        <w:rPr>
          <w:rFonts w:ascii="Times New Roman" w:hAnsi="Times New Roman" w:cs="Times New Roman"/>
        </w:rPr>
        <w:t xml:space="preserve">: </w:t>
      </w:r>
    </w:p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230"/>
      </w:tblGrid>
      <w:tr w:rsidR="00285574" w:rsidTr="00AB55B6">
        <w:tc>
          <w:tcPr>
            <w:tcW w:w="4230" w:type="dxa"/>
          </w:tcPr>
          <w:p w:rsidR="00285574" w:rsidRPr="00BA1FF1" w:rsidRDefault="00285574" w:rsidP="00AB55B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τ</w:t>
            </w:r>
            <w:r w:rsidRPr="00BE664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E6645">
              <w:rPr>
                <w:rFonts w:ascii="Times New Roman" w:eastAsia="Times New Roman" w:hAnsi="Times New Roman" w:cs="Times New Roman"/>
              </w:rPr>
              <w:t xml:space="preserve">= 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Ma</w:t>
            </w:r>
            <w:r w:rsidRPr="00BE6645">
              <w:rPr>
                <w:rFonts w:ascii="Times New Roman" w:eastAsia="Times New Roman" w:hAnsi="Times New Roman" w:cs="Times New Roman"/>
              </w:rPr>
              <w:t>+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+ g </w:t>
            </w:r>
            <w:r w:rsidRPr="00BE6645">
              <w:rPr>
                <w:rFonts w:ascii="Times New Roman" w:eastAsia="Times New Roman" w:hAnsi="Times New Roman" w:cs="Times New Roman"/>
              </w:rPr>
              <w:t>−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c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  <w:vertAlign w:val="superscript"/>
              </w:rPr>
              <w:t>T</w:t>
            </w:r>
            <w:r w:rsidRPr="00BE6645">
              <w:rPr>
                <w:rFonts w:ascii="Times New Roman" w:eastAsia="Times New Roman" w:hAnsi="Times New Roman" w:cs="Times New Roman"/>
                <w:b/>
                <w:iCs/>
              </w:rPr>
              <w:t>f</w:t>
            </w:r>
          </w:p>
        </w:tc>
        <w:tc>
          <w:tcPr>
            <w:tcW w:w="4230" w:type="dxa"/>
          </w:tcPr>
          <w:p w:rsidR="00285574" w:rsidRDefault="00285574" w:rsidP="00AB55B6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(S3.1)</w:t>
            </w:r>
          </w:p>
        </w:tc>
      </w:tr>
    </w:tbl>
    <w:p w:rsidR="00285574" w:rsidRDefault="00285574" w:rsidP="00285574">
      <w:pPr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040DFA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and </w:t>
      </w:r>
      <w:r w:rsidRPr="00040DFA">
        <w:rPr>
          <w:rFonts w:ascii="Times New Roman" w:hAnsi="Times New Roman" w:cs="Times New Roman"/>
          <w:b/>
        </w:rPr>
        <w:t>Jc</w:t>
      </w:r>
      <w:r>
        <w:rPr>
          <w:rFonts w:ascii="Times New Roman" w:hAnsi="Times New Roman" w:cs="Times New Roman"/>
        </w:rPr>
        <w:t xml:space="preserve"> are the mass-inertia and constraint jacobian matrices and </w:t>
      </w:r>
      <w:r w:rsidRPr="0059042D">
        <w:rPr>
          <w:rFonts w:ascii="Times New Roman" w:hAnsi="Times New Roman" w:cs="Times New Roman"/>
          <w:b/>
        </w:rPr>
        <w:t>M</w:t>
      </w:r>
      <w:r w:rsidRPr="00DF666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, </w:t>
      </w:r>
      <w:r w:rsidRPr="00D65C3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, g</w:t>
      </w:r>
      <w:r>
        <w:rPr>
          <w:rFonts w:ascii="Times New Roman" w:hAnsi="Times New Roman" w:cs="Times New Roman"/>
        </w:rPr>
        <w:t xml:space="preserve">, </w:t>
      </w:r>
      <w:r w:rsidRPr="003D45DB">
        <w:rPr>
          <w:rFonts w:ascii="Times New Roman" w:hAnsi="Times New Roman" w:cs="Times New Roman"/>
          <w:b/>
        </w:rPr>
        <w:t>J</w:t>
      </w:r>
      <w:r w:rsidRPr="003D45DB">
        <w:rPr>
          <w:rFonts w:ascii="Times New Roman" w:hAnsi="Times New Roman" w:cs="Times New Roman"/>
          <w:b/>
          <w:vertAlign w:val="superscript"/>
        </w:rPr>
        <w:t>T</w:t>
      </w:r>
      <w:r w:rsidRPr="00D65C35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 xml:space="preserve"> are the components of torque required to overcome limb inertia, Coriolis, gravity and constraint forces (including GRF), respectively, to cause joint acceleration, </w:t>
      </w:r>
      <w:r w:rsidRPr="001236D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 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3C620A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FIGURES &amp; MOVIES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S1. </w:t>
      </w:r>
      <w:r w:rsidRPr="006949D2">
        <w:rPr>
          <w:rFonts w:ascii="Times New Roman" w:hAnsi="Times New Roman" w:cs="Times New Roman"/>
        </w:rPr>
        <w:t xml:space="preserve">Simulated non-linear ilio-sacral (IS) angle traces for 16 simulations. IS profiles are defined by Eq. S1 with the steepness parameter, a = 0.01.  Increasing initial angles (lower values = closer to ground) of -0.2, 0.2, 0.6, and 1.0 are iterated for each set for final IS angle values of -0.2, 0.2, 0.6, and 1.0 for panels A-D, respectively.  </w:t>
      </w:r>
      <w:r w:rsidR="003C620A">
        <w:rPr>
          <w:rFonts w:ascii="Times New Roman" w:hAnsi="Times New Roman" w:cs="Times New Roman"/>
        </w:rPr>
        <w:t xml:space="preserve">Positive slope represent IS joint extension.  </w:t>
      </w:r>
      <w:r w:rsidRPr="006949D2">
        <w:rPr>
          <w:rFonts w:ascii="Times New Roman" w:hAnsi="Times New Roman" w:cs="Times New Roman"/>
        </w:rPr>
        <w:t>All values are in radians to be consistent with the Eq. S1. The three exemplar simulations shown in Fig. 1 are sim1) the steepest (circle), sim2) the farthest (square) and sim3) the shortest-lowest (triangle)</w:t>
      </w:r>
      <w:r>
        <w:rPr>
          <w:rFonts w:ascii="Times New Roman" w:hAnsi="Times New Roman" w:cs="Times New Roman"/>
        </w:rPr>
        <w:t>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S2. </w:t>
      </w:r>
      <w:r w:rsidRPr="006949D2">
        <w:rPr>
          <w:rFonts w:ascii="Times New Roman" w:hAnsi="Times New Roman" w:cs="Times New Roman"/>
        </w:rPr>
        <w:t xml:space="preserve">Simulated linear ilio-sacral (IS) angle traces for 16 simulations. IS profiles are defined by Eq. S1 with the steepness parameter, </w:t>
      </w:r>
      <w:r w:rsidRPr="00354293">
        <w:rPr>
          <w:rFonts w:ascii="Times New Roman" w:hAnsi="Times New Roman" w:cs="Times New Roman"/>
          <w:i/>
        </w:rPr>
        <w:t>a</w:t>
      </w:r>
      <w:r w:rsidRPr="006949D2">
        <w:rPr>
          <w:rFonts w:ascii="Times New Roman" w:hAnsi="Times New Roman" w:cs="Times New Roman"/>
        </w:rPr>
        <w:t xml:space="preserve"> = 0.001 for approximate linearity.  Increasing initial angles (lower values = closer to ground) of -0.2, 0.2, 0.6, and 1.0 are iterated for each set for final IS angle values of -0.2, 0.2, 0.6, and 1.0 for panels A-D, respectively.  </w:t>
      </w:r>
      <w:r w:rsidR="003C620A">
        <w:rPr>
          <w:rFonts w:ascii="Times New Roman" w:hAnsi="Times New Roman" w:cs="Times New Roman"/>
        </w:rPr>
        <w:t xml:space="preserve">Positive slope represent IS joint extension. </w:t>
      </w:r>
      <w:r w:rsidRPr="006949D2">
        <w:rPr>
          <w:rFonts w:ascii="Times New Roman" w:hAnsi="Times New Roman" w:cs="Times New Roman"/>
        </w:rPr>
        <w:t>All values are in radians to be consistent with the Eq. S1. The three exemplar simulations shown in Fig. 1 are sim1) the steepest (circle), sim2) the farthest (square) and sim3) the shortest-lowest (triangle).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movie 1:  Example simulation (sim 1) showing the steepest jump in three views.  The red </w:t>
      </w:r>
      <w:r>
        <w:rPr>
          <w:rFonts w:ascii="Times New Roman" w:hAnsi="Times New Roman" w:cs="Times New Roman"/>
        </w:rPr>
        <w:lastRenderedPageBreak/>
        <w:t xml:space="preserve">ball indicates the time-varying position of the centre of mass.  The simulated ground reaction force vector </w:t>
      </w:r>
      <w:r w:rsidR="007A3D10">
        <w:rPr>
          <w:rFonts w:ascii="Times New Roman" w:hAnsi="Times New Roman" w:cs="Times New Roman"/>
        </w:rPr>
        <w:t xml:space="preserve">(left leg only) </w:t>
      </w:r>
      <w:r>
        <w:rPr>
          <w:rFonts w:ascii="Times New Roman" w:hAnsi="Times New Roman" w:cs="Times New Roman"/>
        </w:rPr>
        <w:t xml:space="preserve">is shown in black. </w:t>
      </w:r>
      <w:r w:rsidR="00F63923">
        <w:rPr>
          <w:rFonts w:ascii="Times New Roman" w:hAnsi="Times New Roman" w:cs="Times New Roman"/>
        </w:rPr>
        <w:t>The simulation is paused at the moment of takeoff.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movie 2:  Example simulation (sim 2) showing the farthest jump in three views.  The red ball indicates the time-varying position of the centre of mass.  The simulated ground reaction force vector </w:t>
      </w:r>
      <w:r w:rsidR="007A3D10">
        <w:rPr>
          <w:rFonts w:ascii="Times New Roman" w:hAnsi="Times New Roman" w:cs="Times New Roman"/>
        </w:rPr>
        <w:t xml:space="preserve">(left leg only) </w:t>
      </w:r>
      <w:r>
        <w:rPr>
          <w:rFonts w:ascii="Times New Roman" w:hAnsi="Times New Roman" w:cs="Times New Roman"/>
        </w:rPr>
        <w:t xml:space="preserve">is shown in black. </w:t>
      </w:r>
      <w:r w:rsidR="00F63923">
        <w:rPr>
          <w:rFonts w:ascii="Times New Roman" w:hAnsi="Times New Roman" w:cs="Times New Roman"/>
        </w:rPr>
        <w:t>The simulation is paused at the moment of takeoff.</w:t>
      </w: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285574" w:rsidRDefault="00285574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movie 3:  Example simulation (sim 3) showing the shortest (most horizontal) jump in three views.  Unlike sim 1&amp;2, the torso rotates downward to cause a more horizontal takeoff trajectory. The red ball indicates the time-varying position of the centre of mass.  The simulated ground reaction force vector</w:t>
      </w:r>
      <w:r w:rsidR="007A3D10">
        <w:rPr>
          <w:rFonts w:ascii="Times New Roman" w:hAnsi="Times New Roman" w:cs="Times New Roman"/>
        </w:rPr>
        <w:t xml:space="preserve"> (left leg only)</w:t>
      </w:r>
      <w:r>
        <w:rPr>
          <w:rFonts w:ascii="Times New Roman" w:hAnsi="Times New Roman" w:cs="Times New Roman"/>
        </w:rPr>
        <w:t xml:space="preserve"> is shown in black. </w:t>
      </w:r>
      <w:r w:rsidR="00F63923">
        <w:rPr>
          <w:rFonts w:ascii="Times New Roman" w:hAnsi="Times New Roman" w:cs="Times New Roman"/>
        </w:rPr>
        <w:t>The simulation is paused at the moment of takeoff.</w:t>
      </w:r>
    </w:p>
    <w:p w:rsidR="007920EE" w:rsidRDefault="007920EE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7920EE" w:rsidRDefault="007920EE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movie 4:  Four example simulations where slight changes in the timing and magnitude of IS extension influences the duration of ground contact, even with identical leg kinematics. </w:t>
      </w:r>
      <w:r w:rsidR="00F63923">
        <w:rPr>
          <w:rFonts w:ascii="Times New Roman" w:hAnsi="Times New Roman" w:cs="Times New Roman"/>
        </w:rPr>
        <w:t xml:space="preserve"> Simulation time is shown in seconds.</w:t>
      </w:r>
      <w:r>
        <w:rPr>
          <w:rFonts w:ascii="Times New Roman" w:hAnsi="Times New Roman" w:cs="Times New Roman"/>
        </w:rPr>
        <w:t xml:space="preserve"> Because the simulation ends automatically when vertical force crosses zero, any alterations of GRF due to IS extension can dramatically alter ground contact time to cause a premature takeoff.   </w:t>
      </w:r>
      <w:r w:rsidR="00F63923">
        <w:rPr>
          <w:rFonts w:ascii="Times New Roman" w:hAnsi="Times New Roman" w:cs="Times New Roman"/>
        </w:rPr>
        <w:t>The simulated ground reaction force vector</w:t>
      </w:r>
      <w:r w:rsidR="007A3D10">
        <w:rPr>
          <w:rFonts w:ascii="Times New Roman" w:hAnsi="Times New Roman" w:cs="Times New Roman"/>
        </w:rPr>
        <w:t xml:space="preserve"> (left leg only)</w:t>
      </w:r>
      <w:r w:rsidR="00F63923">
        <w:rPr>
          <w:rFonts w:ascii="Times New Roman" w:hAnsi="Times New Roman" w:cs="Times New Roman"/>
        </w:rPr>
        <w:t xml:space="preserve"> is shown in black.  The red ball indicates the time-varying position of the centre of mass. The simulation is paused at the moment of takeoff. </w:t>
      </w:r>
      <w:r>
        <w:rPr>
          <w:rFonts w:ascii="Times New Roman" w:hAnsi="Times New Roman" w:cs="Times New Roman"/>
        </w:rPr>
        <w:t>Note that there is some error (+/- one time step) in our algorithm’s estimation of vertical force zero crossing, causing the final an</w:t>
      </w:r>
      <w:r w:rsidR="000A022D">
        <w:rPr>
          <w:rFonts w:ascii="Times New Roman" w:hAnsi="Times New Roman" w:cs="Times New Roman"/>
        </w:rPr>
        <w:t>imation frame to either show positive values (one frame prior to takeoff) or negative values (one frame after takeoff).</w:t>
      </w:r>
    </w:p>
    <w:p w:rsidR="00DD4E28" w:rsidRDefault="00DD4E28" w:rsidP="00DD4E2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SI mov</w:t>
      </w:r>
      <w:r w:rsidR="00FD257C">
        <w:rPr>
          <w:rFonts w:ascii="Times New Roman" w:hAnsi="Times New Roman" w:cs="Times New Roman"/>
        </w:rPr>
        <w:t>ie 5</w:t>
      </w:r>
      <w:r>
        <w:rPr>
          <w:rFonts w:ascii="Times New Roman" w:hAnsi="Times New Roman" w:cs="Times New Roman"/>
        </w:rPr>
        <w:t xml:space="preserve">:  </w:t>
      </w:r>
      <w:r w:rsidR="00D6634A">
        <w:rPr>
          <w:rFonts w:ascii="Times New Roman" w:hAnsi="Times New Roman" w:cs="Times New Roman"/>
        </w:rPr>
        <w:t>Three e</w:t>
      </w:r>
      <w:r>
        <w:rPr>
          <w:rFonts w:ascii="Times New Roman" w:hAnsi="Times New Roman" w:cs="Times New Roman"/>
        </w:rPr>
        <w:t>xample simulations</w:t>
      </w:r>
      <w:r>
        <w:rPr>
          <w:rFonts w:ascii="Times New Roman" w:hAnsi="Times New Roman" w:cs="Times New Roman"/>
        </w:rPr>
        <w:t xml:space="preserve"> showing</w:t>
      </w:r>
      <w:r w:rsidR="00D6634A">
        <w:rPr>
          <w:rFonts w:ascii="Times New Roman" w:hAnsi="Times New Roman" w:cs="Times New Roman"/>
        </w:rPr>
        <w:t xml:space="preserve"> increasing, but</w:t>
      </w:r>
      <w:r>
        <w:rPr>
          <w:rFonts w:ascii="Times New Roman" w:hAnsi="Times New Roman" w:cs="Times New Roman"/>
        </w:rPr>
        <w:t xml:space="preserve"> fixed IS angles (representing the lower-left to upper-right diagonal of the IS angle parameter space (see Fig. 2). </w:t>
      </w:r>
      <w:r>
        <w:rPr>
          <w:rFonts w:ascii="Times New Roman" w:hAnsi="Times New Roman" w:cs="Times New Roman"/>
        </w:rPr>
        <w:t xml:space="preserve"> The red ball indicates the time-varying position of the centre of mass.  The simulated ground reaction force vector (left leg only) is shown in black. The simulation is paused at the moment of takeoff.</w:t>
      </w:r>
    </w:p>
    <w:p w:rsidR="00DD4E28" w:rsidRPr="00E37A21" w:rsidRDefault="00DD4E28" w:rsidP="002855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BA59DE" w:rsidRDefault="00BA59DE"/>
    <w:sectPr w:rsidR="00BA59DE" w:rsidSect="00E245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4"/>
    <w:rsid w:val="000A022D"/>
    <w:rsid w:val="001659E6"/>
    <w:rsid w:val="00257ED3"/>
    <w:rsid w:val="00285574"/>
    <w:rsid w:val="00344B27"/>
    <w:rsid w:val="003C620A"/>
    <w:rsid w:val="00421BDA"/>
    <w:rsid w:val="00545169"/>
    <w:rsid w:val="00721B93"/>
    <w:rsid w:val="007920EE"/>
    <w:rsid w:val="007A3D10"/>
    <w:rsid w:val="008153CB"/>
    <w:rsid w:val="00BA59DE"/>
    <w:rsid w:val="00CC74A4"/>
    <w:rsid w:val="00D6634A"/>
    <w:rsid w:val="00DD4E28"/>
    <w:rsid w:val="00E24578"/>
    <w:rsid w:val="00E35B77"/>
    <w:rsid w:val="00F63923"/>
    <w:rsid w:val="00FB0DDA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8118B"/>
  <w15:chartTrackingRefBased/>
  <w15:docId w15:val="{95E19806-D3BE-0B4A-8DE2-272B5E4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5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8557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28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2018-07-16T13:32:00Z</dcterms:created>
  <dcterms:modified xsi:type="dcterms:W3CDTF">2018-07-17T12:41:00Z</dcterms:modified>
</cp:coreProperties>
</file>