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8337" w14:textId="556A8EEF" w:rsidR="00A94AA6" w:rsidRPr="00923032" w:rsidRDefault="00A94AA6" w:rsidP="00923032">
      <w:pPr>
        <w:outlineLvl w:val="0"/>
        <w:rPr>
          <w:b/>
          <w:lang w:val="en-GB"/>
        </w:rPr>
      </w:pPr>
      <w:r w:rsidRPr="00923032">
        <w:rPr>
          <w:b/>
          <w:lang w:val="en-GB"/>
        </w:rPr>
        <w:t xml:space="preserve">Table </w:t>
      </w:r>
      <w:r w:rsidR="000D3EF1">
        <w:rPr>
          <w:b/>
          <w:lang w:val="en-GB"/>
        </w:rPr>
        <w:t>S</w:t>
      </w:r>
      <w:bookmarkStart w:id="0" w:name="_GoBack"/>
      <w:bookmarkEnd w:id="0"/>
      <w:r w:rsidRPr="00923032">
        <w:rPr>
          <w:b/>
          <w:lang w:val="en-GB"/>
        </w:rPr>
        <w:t>1</w:t>
      </w:r>
      <w:r w:rsidR="0028184B" w:rsidRPr="00923032">
        <w:rPr>
          <w:b/>
          <w:lang w:val="en-GB"/>
        </w:rPr>
        <w:t xml:space="preserve">: Predicted relationships between hormones, hormonally-regulated life history stages, and host </w:t>
      </w:r>
      <w:r w:rsidR="00923032">
        <w:rPr>
          <w:b/>
          <w:lang w:val="en-GB"/>
        </w:rPr>
        <w:t>defence</w:t>
      </w:r>
      <w:r w:rsidR="0028184B" w:rsidRPr="00923032">
        <w:rPr>
          <w:b/>
          <w:lang w:val="en-GB"/>
        </w:rPr>
        <w:t xml:space="preserve">s </w:t>
      </w:r>
    </w:p>
    <w:p w14:paraId="15FB5DD1" w14:textId="644FA7F0" w:rsidR="0028184B" w:rsidRPr="00923032" w:rsidRDefault="0028184B" w:rsidP="0028184B">
      <w:pPr>
        <w:spacing w:after="120"/>
        <w:rPr>
          <w:sz w:val="22"/>
          <w:lang w:val="en-GB"/>
        </w:rPr>
      </w:pPr>
      <w:r w:rsidRPr="00923032">
        <w:rPr>
          <w:rFonts w:ascii="Calibri" w:hAnsi="Calibri" w:cs="Calibri"/>
          <w:color w:val="000000"/>
          <w:sz w:val="22"/>
          <w:szCs w:val="16"/>
          <w:lang w:val="en-GB"/>
        </w:rPr>
        <w:t>T: testosterone; PROG: progesterone; CORT: corticosterone;</w:t>
      </w:r>
      <w:r w:rsidR="000D24FB" w:rsidRPr="00923032">
        <w:rPr>
          <w:rFonts w:ascii="Calibri" w:hAnsi="Calibri" w:cs="Calibri"/>
          <w:color w:val="000000"/>
          <w:sz w:val="22"/>
          <w:szCs w:val="16"/>
          <w:lang w:val="en-GB"/>
        </w:rPr>
        <w:t xml:space="preserve"> </w:t>
      </w:r>
      <w:r w:rsidRPr="00923032">
        <w:rPr>
          <w:rFonts w:ascii="Calibri" w:hAnsi="Calibri" w:cs="Calibri"/>
          <w:color w:val="000000"/>
          <w:sz w:val="22"/>
          <w:szCs w:val="16"/>
          <w:lang w:val="en-GB"/>
        </w:rPr>
        <w:t>PRL: prolactin; MT: mesotocin; AR: androgen receptor; ER: estrogen receptor; GR: glucocorticoid receptor</w:t>
      </w:r>
      <w:r w:rsidR="00706374" w:rsidRPr="00923032">
        <w:rPr>
          <w:rFonts w:ascii="Calibri" w:hAnsi="Calibri" w:cs="Calibri"/>
          <w:color w:val="000000"/>
          <w:sz w:val="22"/>
          <w:szCs w:val="16"/>
          <w:lang w:val="en-GB"/>
        </w:rPr>
        <w:t xml:space="preserve">; AROM: aromatase. </w:t>
      </w:r>
    </w:p>
    <w:p w14:paraId="449C6A54" w14:textId="77777777" w:rsidR="00A94AA6" w:rsidRPr="00923032" w:rsidRDefault="00A94AA6">
      <w:pPr>
        <w:rPr>
          <w:b/>
          <w:lang w:val="en-GB"/>
        </w:rPr>
      </w:pPr>
    </w:p>
    <w:tbl>
      <w:tblPr>
        <w:tblStyle w:val="GridTable1Light-Accent31"/>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90"/>
        <w:gridCol w:w="2610"/>
        <w:gridCol w:w="1350"/>
        <w:gridCol w:w="1800"/>
        <w:gridCol w:w="1980"/>
        <w:gridCol w:w="4446"/>
      </w:tblGrid>
      <w:tr w:rsidR="00706374" w:rsidRPr="00923032" w14:paraId="56ABFB8C" w14:textId="77777777" w:rsidTr="00706374">
        <w:trPr>
          <w:trHeight w:val="513"/>
        </w:trPr>
        <w:tc>
          <w:tcPr>
            <w:tcW w:w="990" w:type="dxa"/>
            <w:tcBorders>
              <w:top w:val="single" w:sz="12" w:space="0" w:color="auto"/>
              <w:bottom w:val="single" w:sz="4" w:space="0" w:color="auto"/>
            </w:tcBorders>
          </w:tcPr>
          <w:p w14:paraId="19D754D2" w14:textId="1BD589D5" w:rsidR="00786856" w:rsidRPr="00923032" w:rsidRDefault="00786856" w:rsidP="00A94AA6">
            <w:pPr>
              <w:autoSpaceDE w:val="0"/>
              <w:autoSpaceDN w:val="0"/>
              <w:adjustRightInd w:val="0"/>
              <w:spacing w:after="120"/>
              <w:ind w:right="-132"/>
              <w:rPr>
                <w:rFonts w:ascii="Calibri" w:hAnsi="Calibri" w:cs="Calibri"/>
                <w:b/>
                <w:bCs/>
                <w:color w:val="000000"/>
                <w:sz w:val="18"/>
                <w:lang w:val="en-GB"/>
              </w:rPr>
            </w:pPr>
            <w:r w:rsidRPr="00923032">
              <w:rPr>
                <w:rFonts w:ascii="Calibri" w:hAnsi="Calibri" w:cs="Calibri"/>
                <w:b/>
                <w:bCs/>
                <w:color w:val="000000"/>
                <w:sz w:val="18"/>
                <w:lang w:val="en-GB"/>
              </w:rPr>
              <w:t>STAGE</w:t>
            </w:r>
          </w:p>
        </w:tc>
        <w:tc>
          <w:tcPr>
            <w:tcW w:w="2610" w:type="dxa"/>
            <w:tcBorders>
              <w:top w:val="single" w:sz="12" w:space="0" w:color="auto"/>
              <w:bottom w:val="single" w:sz="4" w:space="0" w:color="auto"/>
            </w:tcBorders>
          </w:tcPr>
          <w:p w14:paraId="486B8653" w14:textId="5550DA66" w:rsidR="00786856" w:rsidRPr="00923032" w:rsidRDefault="00786856" w:rsidP="00A94AA6">
            <w:pPr>
              <w:autoSpaceDE w:val="0"/>
              <w:autoSpaceDN w:val="0"/>
              <w:adjustRightInd w:val="0"/>
              <w:spacing w:after="120"/>
              <w:ind w:right="-132"/>
              <w:rPr>
                <w:rFonts w:ascii="Calibri" w:hAnsi="Calibri" w:cs="Calibri"/>
                <w:b/>
                <w:bCs/>
                <w:color w:val="000000"/>
                <w:sz w:val="18"/>
                <w:lang w:val="en-GB"/>
              </w:rPr>
            </w:pPr>
            <w:r w:rsidRPr="00923032">
              <w:rPr>
                <w:rFonts w:ascii="Calibri" w:hAnsi="Calibri" w:cs="Calibri"/>
                <w:b/>
                <w:bCs/>
                <w:color w:val="000000"/>
                <w:sz w:val="18"/>
                <w:lang w:val="en-GB"/>
              </w:rPr>
              <w:t>HOST DEFENSE</w:t>
            </w:r>
          </w:p>
        </w:tc>
        <w:tc>
          <w:tcPr>
            <w:tcW w:w="1350" w:type="dxa"/>
            <w:tcBorders>
              <w:top w:val="single" w:sz="12" w:space="0" w:color="auto"/>
              <w:bottom w:val="single" w:sz="4" w:space="0" w:color="auto"/>
            </w:tcBorders>
          </w:tcPr>
          <w:p w14:paraId="600D0002" w14:textId="77777777" w:rsidR="00786856" w:rsidRPr="00923032" w:rsidRDefault="00786856" w:rsidP="00A94AA6">
            <w:pPr>
              <w:autoSpaceDE w:val="0"/>
              <w:autoSpaceDN w:val="0"/>
              <w:adjustRightInd w:val="0"/>
              <w:spacing w:after="120"/>
              <w:rPr>
                <w:rFonts w:ascii="Calibri" w:hAnsi="Calibri" w:cs="Calibri"/>
                <w:b/>
                <w:bCs/>
                <w:color w:val="000000"/>
                <w:sz w:val="18"/>
                <w:lang w:val="en-GB"/>
              </w:rPr>
            </w:pPr>
            <w:r w:rsidRPr="00923032">
              <w:rPr>
                <w:rFonts w:ascii="Calibri" w:hAnsi="Calibri" w:cs="Calibri"/>
                <w:b/>
                <w:bCs/>
                <w:color w:val="000000"/>
                <w:sz w:val="18"/>
                <w:lang w:val="en-GB"/>
              </w:rPr>
              <w:t>FUNCTIONAL TRAIT</w:t>
            </w:r>
          </w:p>
        </w:tc>
        <w:tc>
          <w:tcPr>
            <w:tcW w:w="1800" w:type="dxa"/>
            <w:tcBorders>
              <w:top w:val="single" w:sz="12" w:space="0" w:color="auto"/>
              <w:bottom w:val="single" w:sz="4" w:space="0" w:color="auto"/>
            </w:tcBorders>
          </w:tcPr>
          <w:p w14:paraId="6DC62F1B" w14:textId="7064F6FD" w:rsidR="00786856" w:rsidRPr="00923032" w:rsidRDefault="00706374" w:rsidP="00A94AA6">
            <w:pPr>
              <w:autoSpaceDE w:val="0"/>
              <w:autoSpaceDN w:val="0"/>
              <w:adjustRightInd w:val="0"/>
              <w:spacing w:after="120"/>
              <w:rPr>
                <w:rFonts w:ascii="Calibri" w:hAnsi="Calibri" w:cs="Calibri"/>
                <w:b/>
                <w:bCs/>
                <w:color w:val="000000"/>
                <w:sz w:val="18"/>
                <w:lang w:val="en-GB"/>
              </w:rPr>
            </w:pPr>
            <w:r w:rsidRPr="00923032">
              <w:rPr>
                <w:rFonts w:ascii="Calibri" w:hAnsi="Calibri" w:cs="Calibri"/>
                <w:b/>
                <w:bCs/>
                <w:color w:val="000000"/>
                <w:sz w:val="18"/>
                <w:lang w:val="en-GB"/>
              </w:rPr>
              <w:t xml:space="preserve">GENERAL </w:t>
            </w:r>
            <w:r w:rsidR="00786856" w:rsidRPr="00923032">
              <w:rPr>
                <w:rFonts w:ascii="Calibri" w:hAnsi="Calibri" w:cs="Calibri"/>
                <w:b/>
                <w:bCs/>
                <w:color w:val="000000"/>
                <w:sz w:val="18"/>
                <w:lang w:val="en-GB"/>
              </w:rPr>
              <w:t>HYPOTHESIS</w:t>
            </w:r>
          </w:p>
        </w:tc>
        <w:tc>
          <w:tcPr>
            <w:tcW w:w="1980" w:type="dxa"/>
            <w:tcBorders>
              <w:top w:val="single" w:sz="12" w:space="0" w:color="auto"/>
              <w:bottom w:val="single" w:sz="4" w:space="0" w:color="auto"/>
            </w:tcBorders>
          </w:tcPr>
          <w:p w14:paraId="670A0B9A" w14:textId="5AB6A6F2" w:rsidR="00786856" w:rsidRPr="00923032" w:rsidRDefault="00706374" w:rsidP="00A94AA6">
            <w:pPr>
              <w:autoSpaceDE w:val="0"/>
              <w:autoSpaceDN w:val="0"/>
              <w:adjustRightInd w:val="0"/>
              <w:spacing w:after="120"/>
              <w:rPr>
                <w:rFonts w:ascii="Calibri" w:hAnsi="Calibri" w:cs="Calibri"/>
                <w:b/>
                <w:bCs/>
                <w:color w:val="000000"/>
                <w:sz w:val="18"/>
                <w:lang w:val="en-GB"/>
              </w:rPr>
            </w:pPr>
            <w:r w:rsidRPr="00923032">
              <w:rPr>
                <w:rFonts w:ascii="Calibri" w:hAnsi="Calibri" w:cs="Calibri"/>
                <w:b/>
                <w:bCs/>
                <w:color w:val="000000"/>
                <w:sz w:val="18"/>
                <w:lang w:val="en-GB"/>
              </w:rPr>
              <w:t xml:space="preserve">MECHANISTIC </w:t>
            </w:r>
            <w:r w:rsidR="00786856" w:rsidRPr="00923032">
              <w:rPr>
                <w:rFonts w:ascii="Calibri" w:hAnsi="Calibri" w:cs="Calibri"/>
                <w:b/>
                <w:bCs/>
                <w:color w:val="000000"/>
                <w:sz w:val="18"/>
                <w:lang w:val="en-GB"/>
              </w:rPr>
              <w:t>HYPOTHESIS</w:t>
            </w:r>
          </w:p>
        </w:tc>
        <w:tc>
          <w:tcPr>
            <w:tcW w:w="4446" w:type="dxa"/>
            <w:tcBorders>
              <w:top w:val="single" w:sz="12" w:space="0" w:color="auto"/>
              <w:bottom w:val="single" w:sz="4" w:space="0" w:color="auto"/>
            </w:tcBorders>
          </w:tcPr>
          <w:p w14:paraId="076C0943" w14:textId="77777777" w:rsidR="00786856" w:rsidRPr="00923032" w:rsidRDefault="00786856" w:rsidP="00A94AA6">
            <w:pPr>
              <w:autoSpaceDE w:val="0"/>
              <w:autoSpaceDN w:val="0"/>
              <w:adjustRightInd w:val="0"/>
              <w:spacing w:after="120"/>
              <w:rPr>
                <w:rFonts w:ascii="Calibri" w:hAnsi="Calibri" w:cs="Calibri"/>
                <w:b/>
                <w:bCs/>
                <w:color w:val="000000"/>
                <w:sz w:val="18"/>
                <w:lang w:val="en-GB"/>
              </w:rPr>
            </w:pPr>
            <w:r w:rsidRPr="00923032">
              <w:rPr>
                <w:rFonts w:ascii="Calibri" w:hAnsi="Calibri" w:cs="Calibri"/>
                <w:b/>
                <w:bCs/>
                <w:color w:val="000000"/>
                <w:sz w:val="18"/>
                <w:lang w:val="en-GB"/>
              </w:rPr>
              <w:t>PREDICTIONS</w:t>
            </w:r>
          </w:p>
        </w:tc>
      </w:tr>
      <w:tr w:rsidR="009558CF" w:rsidRPr="00923032" w14:paraId="48201431" w14:textId="77777777" w:rsidTr="00706374">
        <w:trPr>
          <w:trHeight w:val="522"/>
        </w:trPr>
        <w:tc>
          <w:tcPr>
            <w:tcW w:w="990" w:type="dxa"/>
          </w:tcPr>
          <w:p w14:paraId="52153005" w14:textId="76CA43E1" w:rsidR="009558CF" w:rsidRPr="00923032" w:rsidRDefault="009558CF" w:rsidP="00A94AA6">
            <w:pPr>
              <w:autoSpaceDE w:val="0"/>
              <w:autoSpaceDN w:val="0"/>
              <w:adjustRightInd w:val="0"/>
              <w:spacing w:after="120"/>
              <w:ind w:right="-132"/>
              <w:rPr>
                <w:rFonts w:ascii="Calibri" w:hAnsi="Calibri" w:cs="Calibri"/>
                <w:b/>
                <w:bCs/>
                <w:color w:val="000000"/>
                <w:sz w:val="18"/>
                <w:lang w:val="en-GB"/>
              </w:rPr>
            </w:pPr>
            <w:r w:rsidRPr="00923032">
              <w:rPr>
                <w:rFonts w:ascii="Calibri" w:hAnsi="Calibri" w:cs="Calibri"/>
                <w:color w:val="000000"/>
                <w:sz w:val="18"/>
                <w:lang w:val="en-GB"/>
              </w:rPr>
              <w:t xml:space="preserve">Front-line </w:t>
            </w:r>
          </w:p>
        </w:tc>
        <w:tc>
          <w:tcPr>
            <w:tcW w:w="2610" w:type="dxa"/>
          </w:tcPr>
          <w:p w14:paraId="2C476869" w14:textId="69A87559" w:rsidR="009558CF" w:rsidRPr="00923032" w:rsidRDefault="00217C28" w:rsidP="00706374">
            <w:pPr>
              <w:autoSpaceDE w:val="0"/>
              <w:autoSpaceDN w:val="0"/>
              <w:adjustRightInd w:val="0"/>
              <w:spacing w:after="120"/>
              <w:ind w:right="-105"/>
              <w:rPr>
                <w:rFonts w:ascii="Calibri" w:hAnsi="Calibri" w:cs="Calibri"/>
                <w:b/>
                <w:bCs/>
                <w:color w:val="000000"/>
                <w:sz w:val="18"/>
                <w:lang w:val="en-GB"/>
              </w:rPr>
            </w:pPr>
            <w:r w:rsidRPr="00923032">
              <w:rPr>
                <w:rFonts w:ascii="Calibri" w:hAnsi="Calibri" w:cs="Calibri"/>
                <w:color w:val="000000"/>
                <w:sz w:val="18"/>
                <w:lang w:val="en-GB"/>
              </w:rPr>
              <w:t xml:space="preserve">Nest </w:t>
            </w:r>
            <w:r w:rsidR="00923032">
              <w:rPr>
                <w:rFonts w:ascii="Calibri" w:hAnsi="Calibri" w:cs="Calibri"/>
                <w:color w:val="000000"/>
                <w:sz w:val="18"/>
                <w:lang w:val="en-GB"/>
              </w:rPr>
              <w:t>defence</w:t>
            </w:r>
            <w:r w:rsidRPr="00923032">
              <w:rPr>
                <w:rFonts w:ascii="Calibri" w:hAnsi="Calibri" w:cs="Calibri"/>
                <w:color w:val="000000"/>
                <w:sz w:val="18"/>
                <w:lang w:val="en-GB"/>
              </w:rPr>
              <w:t xml:space="preserve"> against</w:t>
            </w:r>
            <w:r w:rsidR="009558CF" w:rsidRPr="00923032">
              <w:rPr>
                <w:rFonts w:ascii="Calibri" w:hAnsi="Calibri" w:cs="Calibri"/>
                <w:color w:val="000000"/>
                <w:sz w:val="18"/>
                <w:lang w:val="en-GB"/>
              </w:rPr>
              <w:t xml:space="preserve"> parasites to reduce the probability of successful parasitism</w:t>
            </w:r>
          </w:p>
        </w:tc>
        <w:tc>
          <w:tcPr>
            <w:tcW w:w="1350" w:type="dxa"/>
          </w:tcPr>
          <w:p w14:paraId="4A7D60FB" w14:textId="5EF46CAD" w:rsidR="009558CF" w:rsidRPr="00923032" w:rsidRDefault="00311558" w:rsidP="00A94AA6">
            <w:pPr>
              <w:autoSpaceDE w:val="0"/>
              <w:autoSpaceDN w:val="0"/>
              <w:adjustRightInd w:val="0"/>
              <w:spacing w:after="120"/>
              <w:rPr>
                <w:rFonts w:ascii="Calibri" w:hAnsi="Calibri" w:cs="Calibri"/>
                <w:b/>
                <w:bCs/>
                <w:color w:val="000000"/>
                <w:sz w:val="18"/>
                <w:lang w:val="en-GB"/>
              </w:rPr>
            </w:pPr>
            <w:r w:rsidRPr="00923032">
              <w:rPr>
                <w:rFonts w:ascii="Calibri" w:hAnsi="Calibri" w:cs="Calibri"/>
                <w:color w:val="000000"/>
                <w:sz w:val="18"/>
                <w:lang w:val="en-GB"/>
              </w:rPr>
              <w:t>Vigilance</w:t>
            </w:r>
          </w:p>
        </w:tc>
        <w:tc>
          <w:tcPr>
            <w:tcW w:w="1800" w:type="dxa"/>
          </w:tcPr>
          <w:p w14:paraId="46FE590C" w14:textId="3AA8B168" w:rsidR="009558CF" w:rsidRPr="00923032" w:rsidRDefault="00893CF1" w:rsidP="00A94AA6">
            <w:pPr>
              <w:autoSpaceDE w:val="0"/>
              <w:autoSpaceDN w:val="0"/>
              <w:adjustRightInd w:val="0"/>
              <w:spacing w:after="120"/>
              <w:rPr>
                <w:rFonts w:ascii="Calibri" w:hAnsi="Calibri" w:cs="Calibri"/>
                <w:b/>
                <w:bCs/>
                <w:color w:val="000000"/>
                <w:sz w:val="18"/>
                <w:lang w:val="en-GB"/>
              </w:rPr>
            </w:pPr>
            <w:r w:rsidRPr="00923032">
              <w:rPr>
                <w:rFonts w:ascii="Calibri" w:hAnsi="Calibri" w:cs="Calibri"/>
                <w:color w:val="000000"/>
                <w:sz w:val="18"/>
                <w:lang w:val="en-GB"/>
              </w:rPr>
              <w:t xml:space="preserve">Hormones mediate </w:t>
            </w:r>
            <w:r w:rsidR="00311558" w:rsidRPr="00923032">
              <w:rPr>
                <w:rFonts w:ascii="Calibri" w:hAnsi="Calibri" w:cs="Calibri"/>
                <w:color w:val="000000"/>
                <w:sz w:val="18"/>
                <w:lang w:val="en-GB"/>
              </w:rPr>
              <w:t>vigilance</w:t>
            </w:r>
            <w:r w:rsidR="00C21664" w:rsidRPr="00923032">
              <w:rPr>
                <w:rFonts w:ascii="Calibri" w:hAnsi="Calibri" w:cs="Calibri"/>
                <w:color w:val="000000"/>
                <w:sz w:val="18"/>
                <w:lang w:val="en-GB"/>
              </w:rPr>
              <w:t xml:space="preserve"> against brood parasites</w:t>
            </w:r>
          </w:p>
        </w:tc>
        <w:tc>
          <w:tcPr>
            <w:tcW w:w="1980" w:type="dxa"/>
          </w:tcPr>
          <w:p w14:paraId="26AAEF5D" w14:textId="174A6EBF" w:rsidR="009558CF" w:rsidRPr="00923032" w:rsidRDefault="009558CF" w:rsidP="00A94AA6">
            <w:pPr>
              <w:autoSpaceDE w:val="0"/>
              <w:autoSpaceDN w:val="0"/>
              <w:adjustRightInd w:val="0"/>
              <w:spacing w:after="120"/>
              <w:rPr>
                <w:rFonts w:ascii="Calibri" w:hAnsi="Calibri" w:cs="Calibri"/>
                <w:b/>
                <w:bCs/>
                <w:color w:val="000000"/>
                <w:sz w:val="18"/>
                <w:lang w:val="en-GB"/>
              </w:rPr>
            </w:pPr>
            <w:r w:rsidRPr="00923032">
              <w:rPr>
                <w:rFonts w:ascii="Calibri" w:hAnsi="Calibri" w:cs="Calibri"/>
                <w:color w:val="000000"/>
                <w:sz w:val="18"/>
                <w:lang w:val="en-GB"/>
              </w:rPr>
              <w:t xml:space="preserve">CORT </w:t>
            </w:r>
            <w:r w:rsidR="00311558" w:rsidRPr="00923032">
              <w:rPr>
                <w:rFonts w:ascii="Calibri" w:hAnsi="Calibri" w:cs="Calibri"/>
                <w:color w:val="000000"/>
                <w:sz w:val="18"/>
                <w:lang w:val="en-GB"/>
              </w:rPr>
              <w:t xml:space="preserve">increases vigilance </w:t>
            </w:r>
            <w:r w:rsidR="00923032">
              <w:rPr>
                <w:rFonts w:ascii="Calibri" w:hAnsi="Calibri" w:cs="Calibri"/>
                <w:color w:val="000000"/>
                <w:sz w:val="18"/>
                <w:lang w:val="en-GB"/>
              </w:rPr>
              <w:t>behaviour</w:t>
            </w:r>
          </w:p>
        </w:tc>
        <w:tc>
          <w:tcPr>
            <w:tcW w:w="4446" w:type="dxa"/>
          </w:tcPr>
          <w:p w14:paraId="06AD79A3" w14:textId="7C2364A9" w:rsidR="009558CF" w:rsidRPr="00923032" w:rsidRDefault="009558CF" w:rsidP="00A94AA6">
            <w:pPr>
              <w:autoSpaceDE w:val="0"/>
              <w:autoSpaceDN w:val="0"/>
              <w:adjustRightInd w:val="0"/>
              <w:spacing w:after="120"/>
              <w:rPr>
                <w:rFonts w:ascii="Calibri" w:hAnsi="Calibri" w:cs="Calibri"/>
                <w:b/>
                <w:bCs/>
                <w:color w:val="000000"/>
                <w:sz w:val="18"/>
                <w:lang w:val="en-GB"/>
              </w:rPr>
            </w:pPr>
            <w:r w:rsidRPr="00923032">
              <w:rPr>
                <w:rFonts w:ascii="Calibri" w:hAnsi="Calibri" w:cs="Calibri"/>
                <w:color w:val="000000"/>
                <w:sz w:val="18"/>
                <w:lang w:val="en-GB"/>
              </w:rPr>
              <w:t xml:space="preserve">Increased CORT in response to observing a brood parasite </w:t>
            </w:r>
          </w:p>
        </w:tc>
      </w:tr>
      <w:tr w:rsidR="00706374" w:rsidRPr="00923032" w14:paraId="7BEAF370" w14:textId="77777777" w:rsidTr="00C21664">
        <w:trPr>
          <w:trHeight w:val="702"/>
        </w:trPr>
        <w:tc>
          <w:tcPr>
            <w:tcW w:w="990" w:type="dxa"/>
          </w:tcPr>
          <w:p w14:paraId="5A0A8D46" w14:textId="57929BAE" w:rsidR="009558CF" w:rsidRPr="00923032" w:rsidRDefault="009558CF" w:rsidP="00A94AA6">
            <w:pPr>
              <w:autoSpaceDE w:val="0"/>
              <w:autoSpaceDN w:val="0"/>
              <w:adjustRightInd w:val="0"/>
              <w:spacing w:after="120"/>
              <w:rPr>
                <w:rFonts w:ascii="Calibri" w:hAnsi="Calibri" w:cs="Calibri"/>
                <w:color w:val="000000"/>
                <w:sz w:val="18"/>
                <w:lang w:val="en-GB"/>
              </w:rPr>
            </w:pPr>
          </w:p>
        </w:tc>
        <w:tc>
          <w:tcPr>
            <w:tcW w:w="2610" w:type="dxa"/>
          </w:tcPr>
          <w:p w14:paraId="11B37B90" w14:textId="2E6B426C" w:rsidR="009558CF" w:rsidRPr="00923032" w:rsidRDefault="009558CF" w:rsidP="00A94AA6">
            <w:pPr>
              <w:autoSpaceDE w:val="0"/>
              <w:autoSpaceDN w:val="0"/>
              <w:adjustRightInd w:val="0"/>
              <w:spacing w:after="120"/>
              <w:rPr>
                <w:rFonts w:ascii="Calibri" w:hAnsi="Calibri" w:cs="Calibri"/>
                <w:color w:val="000000"/>
                <w:sz w:val="18"/>
                <w:lang w:val="en-GB"/>
              </w:rPr>
            </w:pPr>
          </w:p>
        </w:tc>
        <w:tc>
          <w:tcPr>
            <w:tcW w:w="1350" w:type="dxa"/>
          </w:tcPr>
          <w:p w14:paraId="2D97FC09" w14:textId="63DFE566" w:rsidR="009558CF" w:rsidRPr="00923032" w:rsidRDefault="009558CF" w:rsidP="00A94AA6">
            <w:pPr>
              <w:autoSpaceDE w:val="0"/>
              <w:autoSpaceDN w:val="0"/>
              <w:adjustRightInd w:val="0"/>
              <w:spacing w:after="120"/>
              <w:rPr>
                <w:rFonts w:ascii="Calibri" w:hAnsi="Calibri" w:cs="Calibri"/>
                <w:color w:val="000000"/>
                <w:sz w:val="18"/>
                <w:lang w:val="en-GB"/>
              </w:rPr>
            </w:pPr>
          </w:p>
        </w:tc>
        <w:tc>
          <w:tcPr>
            <w:tcW w:w="1800" w:type="dxa"/>
          </w:tcPr>
          <w:p w14:paraId="3AACAC01" w14:textId="1F7074CA" w:rsidR="009558CF" w:rsidRPr="00923032" w:rsidRDefault="009558CF" w:rsidP="00A94AA6">
            <w:pPr>
              <w:autoSpaceDE w:val="0"/>
              <w:autoSpaceDN w:val="0"/>
              <w:adjustRightInd w:val="0"/>
              <w:spacing w:after="120"/>
              <w:rPr>
                <w:rFonts w:ascii="Calibri" w:hAnsi="Calibri" w:cs="Calibri"/>
                <w:color w:val="000000"/>
                <w:sz w:val="18"/>
                <w:lang w:val="en-GB"/>
              </w:rPr>
            </w:pPr>
          </w:p>
        </w:tc>
        <w:tc>
          <w:tcPr>
            <w:tcW w:w="1980" w:type="dxa"/>
          </w:tcPr>
          <w:p w14:paraId="0D4F67D3" w14:textId="383D3117" w:rsidR="009558CF" w:rsidRPr="00923032" w:rsidRDefault="009558CF" w:rsidP="00A94AA6">
            <w:pPr>
              <w:autoSpaceDE w:val="0"/>
              <w:autoSpaceDN w:val="0"/>
              <w:adjustRightInd w:val="0"/>
              <w:spacing w:after="120"/>
              <w:rPr>
                <w:rFonts w:ascii="Calibri" w:hAnsi="Calibri" w:cs="Calibri"/>
                <w:color w:val="000000"/>
                <w:sz w:val="18"/>
                <w:lang w:val="en-GB"/>
              </w:rPr>
            </w:pPr>
          </w:p>
        </w:tc>
        <w:tc>
          <w:tcPr>
            <w:tcW w:w="4446" w:type="dxa"/>
          </w:tcPr>
          <w:p w14:paraId="3A4ECBBD" w14:textId="382D8C21" w:rsidR="00C21664" w:rsidRPr="00923032" w:rsidRDefault="00893CF1" w:rsidP="00A94AA6">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Only</w:t>
            </w:r>
            <w:r w:rsidR="0061593D" w:rsidRPr="00923032">
              <w:rPr>
                <w:rFonts w:ascii="Calibri" w:hAnsi="Calibri" w:cs="Calibri"/>
                <w:color w:val="000000"/>
                <w:sz w:val="18"/>
                <w:lang w:val="en-GB"/>
              </w:rPr>
              <w:t xml:space="preserve"> </w:t>
            </w:r>
            <w:r w:rsidR="009558CF" w:rsidRPr="00923032">
              <w:rPr>
                <w:rFonts w:ascii="Calibri" w:hAnsi="Calibri" w:cs="Calibri"/>
                <w:color w:val="000000"/>
                <w:sz w:val="18"/>
                <w:lang w:val="en-GB"/>
              </w:rPr>
              <w:t xml:space="preserve">host species show </w:t>
            </w:r>
            <w:r w:rsidR="0022551F" w:rsidRPr="00923032">
              <w:rPr>
                <w:rFonts w:ascii="Calibri" w:hAnsi="Calibri" w:cs="Calibri"/>
                <w:color w:val="000000"/>
                <w:sz w:val="18"/>
                <w:lang w:val="en-GB"/>
              </w:rPr>
              <w:t>increase in CORT</w:t>
            </w:r>
            <w:r w:rsidR="009558CF" w:rsidRPr="00923032">
              <w:rPr>
                <w:rFonts w:ascii="Calibri" w:hAnsi="Calibri" w:cs="Calibri"/>
                <w:color w:val="000000"/>
                <w:sz w:val="18"/>
                <w:lang w:val="en-GB"/>
              </w:rPr>
              <w:t xml:space="preserve"> in response to observing a brood parasite</w:t>
            </w:r>
            <w:r w:rsidR="002D73C5" w:rsidRPr="00923032">
              <w:rPr>
                <w:rFonts w:ascii="Calibri" w:hAnsi="Calibri" w:cs="Calibri"/>
                <w:color w:val="000000"/>
                <w:sz w:val="18"/>
                <w:lang w:val="en-GB"/>
              </w:rPr>
              <w:t xml:space="preserve"> compared to non-host species</w:t>
            </w:r>
          </w:p>
        </w:tc>
      </w:tr>
      <w:tr w:rsidR="00C21664" w:rsidRPr="00923032" w14:paraId="6B82C18E" w14:textId="77777777" w:rsidTr="00C21664">
        <w:trPr>
          <w:trHeight w:val="702"/>
        </w:trPr>
        <w:tc>
          <w:tcPr>
            <w:tcW w:w="990" w:type="dxa"/>
          </w:tcPr>
          <w:p w14:paraId="11D9BEB3"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69758396"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5C45F1EC"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025EE22D"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0D1779FE"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4446" w:type="dxa"/>
          </w:tcPr>
          <w:p w14:paraId="13DE9BF6" w14:textId="1B520514"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Individuals with higher CORT have lower parasitism rates</w:t>
            </w:r>
          </w:p>
          <w:p w14:paraId="58AFCE1B"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r>
      <w:tr w:rsidR="00C21664" w:rsidRPr="00923032" w14:paraId="797A1A3B" w14:textId="77777777" w:rsidTr="00706374">
        <w:trPr>
          <w:trHeight w:val="215"/>
        </w:trPr>
        <w:tc>
          <w:tcPr>
            <w:tcW w:w="990" w:type="dxa"/>
          </w:tcPr>
          <w:p w14:paraId="6CCB7572"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21AC99C6" w14:textId="1630E4EF"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75940290"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4A335303"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2E0467F1" w14:textId="4665A368"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T decreases vigilance</w:t>
            </w:r>
          </w:p>
        </w:tc>
        <w:tc>
          <w:tcPr>
            <w:tcW w:w="4446" w:type="dxa"/>
          </w:tcPr>
          <w:p w14:paraId="443AA951" w14:textId="77777777"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Individuals with higher T have higher parasitism rates</w:t>
            </w:r>
          </w:p>
          <w:p w14:paraId="7A1457D2" w14:textId="110F07BE" w:rsidR="00C21664" w:rsidRPr="00923032" w:rsidRDefault="00C21664" w:rsidP="00C21664">
            <w:pPr>
              <w:autoSpaceDE w:val="0"/>
              <w:autoSpaceDN w:val="0"/>
              <w:adjustRightInd w:val="0"/>
              <w:spacing w:after="120"/>
              <w:rPr>
                <w:rFonts w:ascii="Calibri" w:hAnsi="Calibri" w:cs="Calibri"/>
                <w:color w:val="000000"/>
                <w:sz w:val="18"/>
                <w:lang w:val="en-GB"/>
              </w:rPr>
            </w:pPr>
          </w:p>
        </w:tc>
      </w:tr>
      <w:tr w:rsidR="00C21664" w:rsidRPr="00923032" w14:paraId="555DF7BA" w14:textId="77777777" w:rsidTr="00706374">
        <w:trPr>
          <w:trHeight w:val="300"/>
        </w:trPr>
        <w:tc>
          <w:tcPr>
            <w:tcW w:w="990" w:type="dxa"/>
          </w:tcPr>
          <w:p w14:paraId="551FA1DF" w14:textId="197E6EC8"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 xml:space="preserve">Front-line </w:t>
            </w:r>
          </w:p>
        </w:tc>
        <w:tc>
          <w:tcPr>
            <w:tcW w:w="2610" w:type="dxa"/>
          </w:tcPr>
          <w:p w14:paraId="5C4D4EE1" w14:textId="7AB6D8F7"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 xml:space="preserve">Nest </w:t>
            </w:r>
            <w:r w:rsidR="00923032">
              <w:rPr>
                <w:rFonts w:ascii="Calibri" w:hAnsi="Calibri" w:cs="Calibri"/>
                <w:color w:val="000000"/>
                <w:sz w:val="18"/>
                <w:lang w:val="en-GB"/>
              </w:rPr>
              <w:t>defence</w:t>
            </w:r>
            <w:r w:rsidRPr="00923032">
              <w:rPr>
                <w:rFonts w:ascii="Calibri" w:hAnsi="Calibri" w:cs="Calibri"/>
                <w:color w:val="000000"/>
                <w:sz w:val="18"/>
                <w:lang w:val="en-GB"/>
              </w:rPr>
              <w:t xml:space="preserve"> against parasites to reduce the probability of successful parasitism</w:t>
            </w:r>
          </w:p>
        </w:tc>
        <w:tc>
          <w:tcPr>
            <w:tcW w:w="1350" w:type="dxa"/>
          </w:tcPr>
          <w:p w14:paraId="1CD7FAE9" w14:textId="6B83AF34"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 xml:space="preserve">Aggressive </w:t>
            </w:r>
            <w:r w:rsidR="00923032">
              <w:rPr>
                <w:rFonts w:ascii="Calibri" w:hAnsi="Calibri" w:cs="Calibri"/>
                <w:color w:val="000000"/>
                <w:sz w:val="18"/>
                <w:lang w:val="en-GB"/>
              </w:rPr>
              <w:t>behaviour</w:t>
            </w:r>
          </w:p>
        </w:tc>
        <w:tc>
          <w:tcPr>
            <w:tcW w:w="1800" w:type="dxa"/>
          </w:tcPr>
          <w:p w14:paraId="24C18913" w14:textId="1B45A219"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Hormones mediate aggression towards brood parasites</w:t>
            </w:r>
          </w:p>
        </w:tc>
        <w:tc>
          <w:tcPr>
            <w:tcW w:w="1980" w:type="dxa"/>
          </w:tcPr>
          <w:p w14:paraId="2FB45BDF" w14:textId="1C15300C"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T, PROG mediate aggression towards brood parasites</w:t>
            </w:r>
          </w:p>
        </w:tc>
        <w:tc>
          <w:tcPr>
            <w:tcW w:w="4446" w:type="dxa"/>
          </w:tcPr>
          <w:p w14:paraId="353535CE" w14:textId="7FDB9144"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Increased T levels or decreased PROG levels in response to brood parasites compared to non-parasitic heterospecific intruders</w:t>
            </w:r>
          </w:p>
        </w:tc>
      </w:tr>
      <w:tr w:rsidR="00C21664" w:rsidRPr="00923032" w14:paraId="6FA555FE" w14:textId="77777777" w:rsidTr="00C21664">
        <w:trPr>
          <w:trHeight w:val="351"/>
        </w:trPr>
        <w:tc>
          <w:tcPr>
            <w:tcW w:w="990" w:type="dxa"/>
          </w:tcPr>
          <w:p w14:paraId="2BAC0CFE" w14:textId="2DDFBE99"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10F576E3" w14:textId="7B9FBEE2"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33DE8D8D" w14:textId="3A6AD2FF"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7BE91EB4" w14:textId="2F2D53E2"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394BE058" w14:textId="78F7D75F"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4446" w:type="dxa"/>
          </w:tcPr>
          <w:p w14:paraId="2EEA5AAC" w14:textId="5A8584D7"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Individuals with higher baseline T or decreased PROG levels more aggressive towards brood parasites</w:t>
            </w:r>
          </w:p>
        </w:tc>
      </w:tr>
      <w:tr w:rsidR="00C21664" w:rsidRPr="00923032" w14:paraId="64942149" w14:textId="77777777" w:rsidTr="00706374">
        <w:trPr>
          <w:trHeight w:val="531"/>
        </w:trPr>
        <w:tc>
          <w:tcPr>
            <w:tcW w:w="990" w:type="dxa"/>
          </w:tcPr>
          <w:p w14:paraId="4C970B38" w14:textId="77777777" w:rsidR="00C21664" w:rsidRPr="00923032" w:rsidRDefault="00C21664" w:rsidP="00C21664">
            <w:pPr>
              <w:autoSpaceDE w:val="0"/>
              <w:autoSpaceDN w:val="0"/>
              <w:adjustRightInd w:val="0"/>
              <w:spacing w:after="120"/>
              <w:ind w:right="-132"/>
              <w:rPr>
                <w:rFonts w:ascii="Calibri" w:hAnsi="Calibri" w:cs="Calibri"/>
                <w:b/>
                <w:bCs/>
                <w:color w:val="000000"/>
                <w:sz w:val="18"/>
                <w:lang w:val="en-GB"/>
              </w:rPr>
            </w:pPr>
          </w:p>
        </w:tc>
        <w:tc>
          <w:tcPr>
            <w:tcW w:w="2610" w:type="dxa"/>
          </w:tcPr>
          <w:p w14:paraId="34E0E57D" w14:textId="1894B0AB" w:rsidR="00C21664" w:rsidRPr="00923032" w:rsidRDefault="00C21664" w:rsidP="00C21664">
            <w:pPr>
              <w:autoSpaceDE w:val="0"/>
              <w:autoSpaceDN w:val="0"/>
              <w:adjustRightInd w:val="0"/>
              <w:spacing w:after="120"/>
              <w:ind w:right="-132"/>
              <w:rPr>
                <w:rFonts w:ascii="Calibri" w:hAnsi="Calibri" w:cs="Calibri"/>
                <w:b/>
                <w:bCs/>
                <w:color w:val="000000"/>
                <w:sz w:val="18"/>
                <w:lang w:val="en-GB"/>
              </w:rPr>
            </w:pPr>
          </w:p>
        </w:tc>
        <w:tc>
          <w:tcPr>
            <w:tcW w:w="1350" w:type="dxa"/>
          </w:tcPr>
          <w:p w14:paraId="32D0BBC3" w14:textId="1B4A3BF5" w:rsidR="00C21664" w:rsidRPr="00923032" w:rsidRDefault="00C21664" w:rsidP="00C21664">
            <w:pPr>
              <w:autoSpaceDE w:val="0"/>
              <w:autoSpaceDN w:val="0"/>
              <w:adjustRightInd w:val="0"/>
              <w:spacing w:after="120"/>
              <w:rPr>
                <w:rFonts w:ascii="Calibri" w:hAnsi="Calibri" w:cs="Calibri"/>
                <w:b/>
                <w:bCs/>
                <w:color w:val="000000"/>
                <w:sz w:val="18"/>
                <w:lang w:val="en-GB"/>
              </w:rPr>
            </w:pPr>
          </w:p>
        </w:tc>
        <w:tc>
          <w:tcPr>
            <w:tcW w:w="1800" w:type="dxa"/>
          </w:tcPr>
          <w:p w14:paraId="0CBFE908" w14:textId="09EAE373" w:rsidR="00C21664" w:rsidRPr="00923032" w:rsidRDefault="00C21664" w:rsidP="00C21664">
            <w:pPr>
              <w:autoSpaceDE w:val="0"/>
              <w:autoSpaceDN w:val="0"/>
              <w:adjustRightInd w:val="0"/>
              <w:spacing w:after="120"/>
              <w:rPr>
                <w:rFonts w:ascii="Calibri" w:hAnsi="Calibri" w:cs="Calibri"/>
                <w:b/>
                <w:bCs/>
                <w:color w:val="000000"/>
                <w:sz w:val="18"/>
                <w:lang w:val="en-GB"/>
              </w:rPr>
            </w:pPr>
          </w:p>
        </w:tc>
        <w:tc>
          <w:tcPr>
            <w:tcW w:w="1980" w:type="dxa"/>
          </w:tcPr>
          <w:p w14:paraId="395B8C6F" w14:textId="13246428" w:rsidR="00C21664" w:rsidRPr="00923032" w:rsidRDefault="00C21664" w:rsidP="00C21664">
            <w:pPr>
              <w:autoSpaceDE w:val="0"/>
              <w:autoSpaceDN w:val="0"/>
              <w:adjustRightInd w:val="0"/>
              <w:spacing w:after="120"/>
              <w:rPr>
                <w:rFonts w:ascii="Calibri" w:hAnsi="Calibri" w:cs="Calibri"/>
                <w:b/>
                <w:bCs/>
                <w:color w:val="000000"/>
                <w:sz w:val="18"/>
                <w:lang w:val="en-GB"/>
              </w:rPr>
            </w:pPr>
          </w:p>
        </w:tc>
        <w:tc>
          <w:tcPr>
            <w:tcW w:w="4446" w:type="dxa"/>
          </w:tcPr>
          <w:p w14:paraId="08273E77" w14:textId="628B1E64" w:rsidR="00C21664" w:rsidRPr="00923032" w:rsidRDefault="00C21664" w:rsidP="00C21664">
            <w:pPr>
              <w:autoSpaceDE w:val="0"/>
              <w:autoSpaceDN w:val="0"/>
              <w:adjustRightInd w:val="0"/>
              <w:spacing w:after="120"/>
              <w:rPr>
                <w:rFonts w:ascii="Calibri" w:hAnsi="Calibri" w:cs="Calibri"/>
                <w:b/>
                <w:bCs/>
                <w:color w:val="000000"/>
                <w:sz w:val="18"/>
                <w:lang w:val="en-GB"/>
              </w:rPr>
            </w:pPr>
            <w:r w:rsidRPr="00923032">
              <w:rPr>
                <w:rFonts w:ascii="Calibri" w:hAnsi="Calibri" w:cs="Calibri"/>
                <w:color w:val="000000"/>
                <w:sz w:val="18"/>
                <w:lang w:val="en-GB"/>
              </w:rPr>
              <w:t>Individuals with higher expression of ER, AR, and/or AROM (or lower PROG receptors) in the brain more aggressive towards brood parasites</w:t>
            </w:r>
          </w:p>
        </w:tc>
      </w:tr>
      <w:tr w:rsidR="00C21664" w:rsidRPr="00923032" w14:paraId="665EAE3A" w14:textId="77777777" w:rsidTr="00706374">
        <w:trPr>
          <w:trHeight w:val="531"/>
        </w:trPr>
        <w:tc>
          <w:tcPr>
            <w:tcW w:w="990" w:type="dxa"/>
          </w:tcPr>
          <w:p w14:paraId="72714B5C"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21CDE75B" w14:textId="599634B8"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73314EDE"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45AB9F6C"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640FC6FA"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4446" w:type="dxa"/>
          </w:tcPr>
          <w:p w14:paraId="4C514F5E" w14:textId="37D1A58D"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Individuals or species with higher baseline T more likely to eject eggs or make recognition errors</w:t>
            </w:r>
          </w:p>
        </w:tc>
      </w:tr>
      <w:tr w:rsidR="00C21664" w:rsidRPr="00923032" w14:paraId="321BCBAA" w14:textId="77777777" w:rsidTr="00706374">
        <w:trPr>
          <w:trHeight w:val="117"/>
        </w:trPr>
        <w:tc>
          <w:tcPr>
            <w:tcW w:w="990" w:type="dxa"/>
          </w:tcPr>
          <w:p w14:paraId="3088F5F1"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4EDB25D4" w14:textId="2AAC56C1"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4847189F"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6A886719" w14:textId="6EA792C3"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0DE81409"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4446" w:type="dxa"/>
          </w:tcPr>
          <w:p w14:paraId="1B554A9B" w14:textId="030C2BDC"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Individuals or species with lower aggression more likely to be acceptors of parasitic eggs</w:t>
            </w:r>
          </w:p>
        </w:tc>
      </w:tr>
      <w:tr w:rsidR="00C21664" w:rsidRPr="00923032" w14:paraId="1BC2BCC1" w14:textId="77777777" w:rsidTr="00706374">
        <w:trPr>
          <w:trHeight w:val="450"/>
        </w:trPr>
        <w:tc>
          <w:tcPr>
            <w:tcW w:w="990" w:type="dxa"/>
          </w:tcPr>
          <w:p w14:paraId="61CA62E6"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4C3464AD" w14:textId="1D4E5973"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11072F12"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5BA5806E" w14:textId="1499B3F1"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773CF352"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4446" w:type="dxa"/>
          </w:tcPr>
          <w:p w14:paraId="784F7830" w14:textId="200CCD0D"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Individuals that are more aggressive towards brood parasites are worse parents</w:t>
            </w:r>
          </w:p>
        </w:tc>
      </w:tr>
      <w:tr w:rsidR="00C21664" w:rsidRPr="00923032" w14:paraId="218B2D86" w14:textId="77777777" w:rsidTr="00706374">
        <w:trPr>
          <w:trHeight w:val="116"/>
        </w:trPr>
        <w:tc>
          <w:tcPr>
            <w:tcW w:w="990" w:type="dxa"/>
          </w:tcPr>
          <w:p w14:paraId="6459CDCD" w14:textId="77777777" w:rsidR="00C21664" w:rsidRPr="00923032" w:rsidRDefault="00C21664" w:rsidP="00C21664">
            <w:pPr>
              <w:autoSpaceDE w:val="0"/>
              <w:autoSpaceDN w:val="0"/>
              <w:adjustRightInd w:val="0"/>
              <w:spacing w:after="120"/>
              <w:ind w:right="-132"/>
              <w:rPr>
                <w:rFonts w:ascii="Calibri" w:hAnsi="Calibri" w:cs="Calibri"/>
                <w:b/>
                <w:bCs/>
                <w:color w:val="000000"/>
                <w:sz w:val="18"/>
                <w:lang w:val="en-GB"/>
              </w:rPr>
            </w:pPr>
          </w:p>
        </w:tc>
        <w:tc>
          <w:tcPr>
            <w:tcW w:w="2610" w:type="dxa"/>
          </w:tcPr>
          <w:p w14:paraId="4A6ABD87" w14:textId="3ED489C4" w:rsidR="00C21664" w:rsidRPr="00923032" w:rsidRDefault="00C21664" w:rsidP="00C21664">
            <w:pPr>
              <w:autoSpaceDE w:val="0"/>
              <w:autoSpaceDN w:val="0"/>
              <w:adjustRightInd w:val="0"/>
              <w:spacing w:after="120"/>
              <w:ind w:right="-132"/>
              <w:rPr>
                <w:rFonts w:ascii="Calibri" w:hAnsi="Calibri" w:cs="Calibri"/>
                <w:b/>
                <w:bCs/>
                <w:color w:val="000000"/>
                <w:sz w:val="18"/>
                <w:lang w:val="en-GB"/>
              </w:rPr>
            </w:pPr>
          </w:p>
        </w:tc>
        <w:tc>
          <w:tcPr>
            <w:tcW w:w="1350" w:type="dxa"/>
          </w:tcPr>
          <w:p w14:paraId="7BF5B6D6" w14:textId="7AB602AF" w:rsidR="00C21664" w:rsidRPr="00923032" w:rsidRDefault="00C21664" w:rsidP="00C21664">
            <w:pPr>
              <w:autoSpaceDE w:val="0"/>
              <w:autoSpaceDN w:val="0"/>
              <w:adjustRightInd w:val="0"/>
              <w:spacing w:after="120"/>
              <w:rPr>
                <w:rFonts w:ascii="Calibri" w:hAnsi="Calibri" w:cs="Calibri"/>
                <w:b/>
                <w:bCs/>
                <w:color w:val="000000"/>
                <w:sz w:val="18"/>
                <w:lang w:val="en-GB"/>
              </w:rPr>
            </w:pPr>
          </w:p>
        </w:tc>
        <w:tc>
          <w:tcPr>
            <w:tcW w:w="1800" w:type="dxa"/>
          </w:tcPr>
          <w:p w14:paraId="1C7424EF" w14:textId="3391F5A7" w:rsidR="00C21664" w:rsidRPr="00923032" w:rsidRDefault="00C21664" w:rsidP="00C21664">
            <w:pPr>
              <w:autoSpaceDE w:val="0"/>
              <w:autoSpaceDN w:val="0"/>
              <w:adjustRightInd w:val="0"/>
              <w:spacing w:after="120"/>
              <w:rPr>
                <w:rFonts w:ascii="Calibri" w:hAnsi="Calibri" w:cs="Calibri"/>
                <w:b/>
                <w:bCs/>
                <w:color w:val="000000"/>
                <w:sz w:val="18"/>
                <w:lang w:val="en-GB"/>
              </w:rPr>
            </w:pPr>
          </w:p>
        </w:tc>
        <w:tc>
          <w:tcPr>
            <w:tcW w:w="1980" w:type="dxa"/>
          </w:tcPr>
          <w:p w14:paraId="2EB99B99" w14:textId="0189C7BC" w:rsidR="00C21664" w:rsidRPr="00923032" w:rsidRDefault="00C21664" w:rsidP="00C21664">
            <w:pPr>
              <w:autoSpaceDE w:val="0"/>
              <w:autoSpaceDN w:val="0"/>
              <w:adjustRightInd w:val="0"/>
              <w:spacing w:after="120"/>
              <w:rPr>
                <w:rFonts w:ascii="Calibri" w:hAnsi="Calibri" w:cs="Calibri"/>
                <w:b/>
                <w:bCs/>
                <w:color w:val="000000"/>
                <w:sz w:val="18"/>
                <w:lang w:val="en-GB"/>
              </w:rPr>
            </w:pPr>
          </w:p>
        </w:tc>
        <w:tc>
          <w:tcPr>
            <w:tcW w:w="4446" w:type="dxa"/>
          </w:tcPr>
          <w:p w14:paraId="21930DF5" w14:textId="10E5E9B2" w:rsidR="00C21664" w:rsidRPr="00923032" w:rsidRDefault="00C21664" w:rsidP="00C21664">
            <w:pPr>
              <w:autoSpaceDE w:val="0"/>
              <w:autoSpaceDN w:val="0"/>
              <w:adjustRightInd w:val="0"/>
              <w:spacing w:after="120"/>
              <w:rPr>
                <w:rFonts w:ascii="Calibri" w:hAnsi="Calibri" w:cs="Calibri"/>
                <w:bCs/>
                <w:color w:val="000000"/>
                <w:sz w:val="18"/>
                <w:lang w:val="en-GB"/>
              </w:rPr>
            </w:pPr>
            <w:r w:rsidRPr="00923032">
              <w:rPr>
                <w:rFonts w:ascii="Calibri" w:hAnsi="Calibri" w:cs="Calibri"/>
                <w:bCs/>
                <w:color w:val="000000"/>
                <w:sz w:val="18"/>
                <w:lang w:val="en-GB"/>
              </w:rPr>
              <w:t xml:space="preserve">Individuals with higher T, or lower PROG, have lower parasitism rates </w:t>
            </w:r>
          </w:p>
        </w:tc>
      </w:tr>
      <w:tr w:rsidR="00C21664" w:rsidRPr="00923032" w14:paraId="50969DEB" w14:textId="77777777" w:rsidTr="00706374">
        <w:trPr>
          <w:trHeight w:val="900"/>
        </w:trPr>
        <w:tc>
          <w:tcPr>
            <w:tcW w:w="990" w:type="dxa"/>
          </w:tcPr>
          <w:p w14:paraId="7C59C363" w14:textId="203BAD8A"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lastRenderedPageBreak/>
              <w:t>Egg- and nestling-stage</w:t>
            </w:r>
          </w:p>
        </w:tc>
        <w:tc>
          <w:tcPr>
            <w:tcW w:w="2610" w:type="dxa"/>
          </w:tcPr>
          <w:p w14:paraId="735E2606" w14:textId="2C7D4CAB"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 xml:space="preserve">Parasitic egg or nestling rejection </w:t>
            </w:r>
          </w:p>
        </w:tc>
        <w:tc>
          <w:tcPr>
            <w:tcW w:w="1350" w:type="dxa"/>
          </w:tcPr>
          <w:p w14:paraId="7DE5A4CB" w14:textId="37D9989D"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 xml:space="preserve">Maternal </w:t>
            </w:r>
            <w:r w:rsidR="00923032">
              <w:rPr>
                <w:rFonts w:ascii="Calibri" w:hAnsi="Calibri" w:cs="Calibri"/>
                <w:color w:val="000000"/>
                <w:sz w:val="18"/>
                <w:lang w:val="en-GB"/>
              </w:rPr>
              <w:t>behaviour</w:t>
            </w:r>
          </w:p>
        </w:tc>
        <w:tc>
          <w:tcPr>
            <w:tcW w:w="1800" w:type="dxa"/>
          </w:tcPr>
          <w:p w14:paraId="6DF0003F" w14:textId="4F1A6D02"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Attachment to eggs, nests, and offspring is mediated by hormones</w:t>
            </w:r>
          </w:p>
        </w:tc>
        <w:tc>
          <w:tcPr>
            <w:tcW w:w="1980" w:type="dxa"/>
          </w:tcPr>
          <w:p w14:paraId="2B465E82" w14:textId="4CD19F15"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PRL, MT mediate attachment to eggs, nests, and offspring</w:t>
            </w:r>
          </w:p>
        </w:tc>
        <w:tc>
          <w:tcPr>
            <w:tcW w:w="4446" w:type="dxa"/>
          </w:tcPr>
          <w:p w14:paraId="45A4712D" w14:textId="20D0CE02"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Drop in PRL, MT levels results in nest abandonment or egg (or chick) ejection</w:t>
            </w:r>
          </w:p>
        </w:tc>
      </w:tr>
      <w:tr w:rsidR="00C21664" w:rsidRPr="00923032" w14:paraId="5FD35AF3" w14:textId="77777777" w:rsidTr="00706374">
        <w:trPr>
          <w:trHeight w:val="300"/>
        </w:trPr>
        <w:tc>
          <w:tcPr>
            <w:tcW w:w="990" w:type="dxa"/>
          </w:tcPr>
          <w:p w14:paraId="76EA0475" w14:textId="1EA2C3E2"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3D3520A8" w14:textId="654166B4"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3A32902B" w14:textId="190DEAAC"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40D191DF" w14:textId="45F095CF"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42D5E018" w14:textId="39B0116C"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4446" w:type="dxa"/>
          </w:tcPr>
          <w:p w14:paraId="2202C885" w14:textId="7F338840"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 xml:space="preserve">Individuals that have higher PRL or MT levels (or decrease PRL or MT less in response to brood parasitic stimuli) are less likely to abandon nests or eject their own or parasitic eggs/chicks </w:t>
            </w:r>
          </w:p>
        </w:tc>
      </w:tr>
      <w:tr w:rsidR="00C21664" w:rsidRPr="00923032" w14:paraId="67711083" w14:textId="77777777" w:rsidTr="00706374">
        <w:trPr>
          <w:trHeight w:val="855"/>
        </w:trPr>
        <w:tc>
          <w:tcPr>
            <w:tcW w:w="990" w:type="dxa"/>
          </w:tcPr>
          <w:p w14:paraId="1915807A" w14:textId="04E304B1" w:rsidR="00C21664" w:rsidRPr="00923032" w:rsidDel="009C707B"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4A5504CD" w14:textId="1437B652"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3AA61539" w14:textId="385A2E39"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10890300" w14:textId="76AC10A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7344E1ED" w14:textId="4207CF9A"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4446" w:type="dxa"/>
          </w:tcPr>
          <w:p w14:paraId="349C3384" w14:textId="30C2E9A5"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Nest abandonment and egg/chick rejection is less likely to occur during periods when PRL levels are highest</w:t>
            </w:r>
          </w:p>
        </w:tc>
      </w:tr>
      <w:tr w:rsidR="00C21664" w:rsidRPr="00923032" w14:paraId="57CB7C1E" w14:textId="77777777" w:rsidTr="00706374">
        <w:trPr>
          <w:trHeight w:val="729"/>
        </w:trPr>
        <w:tc>
          <w:tcPr>
            <w:tcW w:w="990" w:type="dxa"/>
          </w:tcPr>
          <w:p w14:paraId="20A2AC30"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77936F51" w14:textId="68EE7F9D"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6E226EAF"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39FD1DF2"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3E7295D2"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4446" w:type="dxa"/>
          </w:tcPr>
          <w:p w14:paraId="4CEA6903" w14:textId="408A1D82"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Individuals and species that have higher expression of PRL or MT receptors in the hypothalamus are less likely to abandon nests or eject eggs/nestlings</w:t>
            </w:r>
          </w:p>
        </w:tc>
      </w:tr>
      <w:tr w:rsidR="00C21664" w:rsidRPr="00923032" w14:paraId="46EE9D7E" w14:textId="77777777" w:rsidTr="00706374">
        <w:trPr>
          <w:trHeight w:val="504"/>
        </w:trPr>
        <w:tc>
          <w:tcPr>
            <w:tcW w:w="990" w:type="dxa"/>
          </w:tcPr>
          <w:p w14:paraId="74E500EC"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3465778C" w14:textId="1BB47479"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33A7F7DF"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4DDD00D3"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32757E30"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4446" w:type="dxa"/>
          </w:tcPr>
          <w:p w14:paraId="6076C19D" w14:textId="0D9AD168"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Recognition of parasitic nestlings by hosts may result in lower PRL or MT levels, resulting in lower provisioning rates per capita</w:t>
            </w:r>
          </w:p>
        </w:tc>
      </w:tr>
      <w:tr w:rsidR="00C21664" w:rsidRPr="00923032" w14:paraId="445BD3FC" w14:textId="77777777" w:rsidTr="00706374">
        <w:trPr>
          <w:trHeight w:val="60"/>
        </w:trPr>
        <w:tc>
          <w:tcPr>
            <w:tcW w:w="990" w:type="dxa"/>
          </w:tcPr>
          <w:p w14:paraId="2A562777"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75C36541" w14:textId="3991D2F1"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64106D3D"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653BBC76" w14:textId="42033EB1"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3FB9EC02" w14:textId="1188E791"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4446" w:type="dxa"/>
          </w:tcPr>
          <w:p w14:paraId="5A9FED34" w14:textId="5D7D0415" w:rsidR="00C21664" w:rsidRPr="00923032" w:rsidRDefault="00C21664" w:rsidP="00C21664">
            <w:pPr>
              <w:autoSpaceDE w:val="0"/>
              <w:autoSpaceDN w:val="0"/>
              <w:adjustRightInd w:val="0"/>
              <w:spacing w:after="120"/>
              <w:rPr>
                <w:rFonts w:ascii="Calibri" w:hAnsi="Calibri" w:cs="Calibri"/>
                <w:color w:val="000000"/>
                <w:sz w:val="18"/>
                <w:lang w:val="en-GB"/>
              </w:rPr>
            </w:pPr>
          </w:p>
        </w:tc>
      </w:tr>
      <w:tr w:rsidR="00C21664" w:rsidRPr="00923032" w14:paraId="442A6D62" w14:textId="77777777" w:rsidTr="00706374">
        <w:trPr>
          <w:trHeight w:val="621"/>
        </w:trPr>
        <w:tc>
          <w:tcPr>
            <w:tcW w:w="990" w:type="dxa"/>
          </w:tcPr>
          <w:p w14:paraId="74459A38"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11E03A33" w14:textId="4634D7BF"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62256D39"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50DC1479" w14:textId="201283CE"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Attachment to eggs, nests, and offspring is mediated by hormones</w:t>
            </w:r>
          </w:p>
        </w:tc>
        <w:tc>
          <w:tcPr>
            <w:tcW w:w="1980" w:type="dxa"/>
          </w:tcPr>
          <w:p w14:paraId="260A4DF6" w14:textId="413D6302"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 xml:space="preserve">T and CORT down-regulate parental </w:t>
            </w:r>
            <w:r w:rsidR="00923032">
              <w:rPr>
                <w:rFonts w:ascii="Calibri" w:hAnsi="Calibri" w:cs="Calibri"/>
                <w:color w:val="000000"/>
                <w:sz w:val="18"/>
                <w:lang w:val="en-GB"/>
              </w:rPr>
              <w:t>behaviour</w:t>
            </w:r>
          </w:p>
        </w:tc>
        <w:tc>
          <w:tcPr>
            <w:tcW w:w="4446" w:type="dxa"/>
          </w:tcPr>
          <w:p w14:paraId="745D8E56" w14:textId="39497BD2"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Individuals with higher T or higher baseline or stress-induced CORT levels more likely to abandon parasitized nests or eject parasitic nestlings or eggs</w:t>
            </w:r>
          </w:p>
        </w:tc>
      </w:tr>
      <w:tr w:rsidR="00C21664" w:rsidRPr="00923032" w14:paraId="6F9F3152" w14:textId="77777777" w:rsidTr="00852817">
        <w:trPr>
          <w:trHeight w:val="162"/>
        </w:trPr>
        <w:tc>
          <w:tcPr>
            <w:tcW w:w="990" w:type="dxa"/>
          </w:tcPr>
          <w:p w14:paraId="2E2BD7D1"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2AB3110F" w14:textId="2D3A3C66"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32A238BA"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14670DF7" w14:textId="7BA38925"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508F80C4" w14:textId="4BD14D9C"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4446" w:type="dxa"/>
          </w:tcPr>
          <w:p w14:paraId="2C4BB659" w14:textId="379B30F7" w:rsidR="00C21664" w:rsidRPr="00923032" w:rsidRDefault="00C21664" w:rsidP="00C21664">
            <w:pPr>
              <w:autoSpaceDE w:val="0"/>
              <w:autoSpaceDN w:val="0"/>
              <w:adjustRightInd w:val="0"/>
              <w:spacing w:after="120"/>
              <w:rPr>
                <w:rFonts w:ascii="Calibri" w:hAnsi="Calibri" w:cs="Calibri"/>
                <w:color w:val="000000"/>
                <w:sz w:val="18"/>
                <w:lang w:val="en-GB"/>
              </w:rPr>
            </w:pPr>
          </w:p>
        </w:tc>
      </w:tr>
      <w:tr w:rsidR="00C21664" w:rsidRPr="00923032" w14:paraId="00E38E02" w14:textId="77777777" w:rsidTr="00852817">
        <w:trPr>
          <w:trHeight w:val="162"/>
        </w:trPr>
        <w:tc>
          <w:tcPr>
            <w:tcW w:w="990" w:type="dxa"/>
          </w:tcPr>
          <w:p w14:paraId="7123805F" w14:textId="54E0EAD0"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Egg- and nestling-stage</w:t>
            </w:r>
          </w:p>
        </w:tc>
        <w:tc>
          <w:tcPr>
            <w:tcW w:w="2610" w:type="dxa"/>
          </w:tcPr>
          <w:p w14:paraId="7A00A7E1" w14:textId="539D0E98"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Host nestling competitive ability</w:t>
            </w:r>
          </w:p>
        </w:tc>
        <w:tc>
          <w:tcPr>
            <w:tcW w:w="1350" w:type="dxa"/>
          </w:tcPr>
          <w:p w14:paraId="4B45BFAD" w14:textId="77777777"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Maternal effects/</w:t>
            </w:r>
          </w:p>
          <w:p w14:paraId="06356E2F" w14:textId="4BE26952"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 xml:space="preserve">Offspring </w:t>
            </w:r>
            <w:r w:rsidR="00923032">
              <w:rPr>
                <w:rFonts w:ascii="Calibri" w:hAnsi="Calibri" w:cs="Calibri"/>
                <w:color w:val="000000"/>
                <w:sz w:val="18"/>
                <w:lang w:val="en-GB"/>
              </w:rPr>
              <w:t>behaviour</w:t>
            </w:r>
          </w:p>
        </w:tc>
        <w:tc>
          <w:tcPr>
            <w:tcW w:w="1800" w:type="dxa"/>
          </w:tcPr>
          <w:p w14:paraId="4AD0B5E6" w14:textId="5089EC14"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 xml:space="preserve">Maternally controlled yolk composition affects the competitive ability of offspring </w:t>
            </w:r>
          </w:p>
        </w:tc>
        <w:tc>
          <w:tcPr>
            <w:tcW w:w="1980" w:type="dxa"/>
          </w:tcPr>
          <w:p w14:paraId="43DF1491" w14:textId="56328E36"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T and CORT increases host offspring ability to compete with a parasitic nestling</w:t>
            </w:r>
          </w:p>
        </w:tc>
        <w:tc>
          <w:tcPr>
            <w:tcW w:w="4446" w:type="dxa"/>
          </w:tcPr>
          <w:p w14:paraId="6024DA9C" w14:textId="6C868A60"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Females from frequently parasitized species deposit higher levels of T or CORT in their eggs compared to less frequently parasitized species</w:t>
            </w:r>
          </w:p>
        </w:tc>
      </w:tr>
      <w:tr w:rsidR="00C21664" w:rsidRPr="00923032" w14:paraId="166E2B2A" w14:textId="77777777" w:rsidTr="00852817">
        <w:trPr>
          <w:trHeight w:val="162"/>
        </w:trPr>
        <w:tc>
          <w:tcPr>
            <w:tcW w:w="990" w:type="dxa"/>
          </w:tcPr>
          <w:p w14:paraId="009D1324"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24F3FFDB"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3FAB3BBE"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271FBC6F"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078CA660"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4446" w:type="dxa"/>
          </w:tcPr>
          <w:p w14:paraId="39D75F42" w14:textId="00778023"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Embryos of frequently parasitized species express higher levels of ARs, ERs, GRs, or aromatase in their brains</w:t>
            </w:r>
          </w:p>
        </w:tc>
      </w:tr>
      <w:tr w:rsidR="00C21664" w:rsidRPr="00923032" w14:paraId="11EDE397" w14:textId="77777777" w:rsidTr="00852817">
        <w:trPr>
          <w:trHeight w:val="162"/>
        </w:trPr>
        <w:tc>
          <w:tcPr>
            <w:tcW w:w="990" w:type="dxa"/>
          </w:tcPr>
          <w:p w14:paraId="5BCCA6B8"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5524BE0E"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7D9BF76C"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636FF05B"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5864B24B"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4446" w:type="dxa"/>
          </w:tcPr>
          <w:p w14:paraId="2A18BBEB" w14:textId="037B6A8D"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 xml:space="preserve">Females may deposit more T or CORT in egg yolks if she perceives but does not eject a parasite egg. </w:t>
            </w:r>
          </w:p>
        </w:tc>
      </w:tr>
      <w:tr w:rsidR="00C21664" w:rsidRPr="00923032" w14:paraId="3D7E875E" w14:textId="77777777" w:rsidTr="00852817">
        <w:trPr>
          <w:trHeight w:val="162"/>
        </w:trPr>
        <w:tc>
          <w:tcPr>
            <w:tcW w:w="990" w:type="dxa"/>
          </w:tcPr>
          <w:p w14:paraId="0AC3AA95"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0F73D286"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69602197"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27F57F90"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102B8BC3"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4446" w:type="dxa"/>
          </w:tcPr>
          <w:p w14:paraId="719D6026" w14:textId="30B360AB"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Females may deposit more T or CORT in yolks in response to visual cues from adult brood parasites that they encounter in the vicinity of their nests</w:t>
            </w:r>
          </w:p>
        </w:tc>
      </w:tr>
      <w:tr w:rsidR="00C21664" w:rsidRPr="00923032" w14:paraId="2DDACA11" w14:textId="77777777" w:rsidTr="00852817">
        <w:trPr>
          <w:trHeight w:val="162"/>
        </w:trPr>
        <w:tc>
          <w:tcPr>
            <w:tcW w:w="990" w:type="dxa"/>
          </w:tcPr>
          <w:p w14:paraId="48E741B3"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6AD04598"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530AC2B1"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5EDBDE7C" w14:textId="6C903CFE"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 xml:space="preserve">Maternally controlled yolk composition affects the competitive ability of offspring </w:t>
            </w:r>
          </w:p>
        </w:tc>
        <w:tc>
          <w:tcPr>
            <w:tcW w:w="1980" w:type="dxa"/>
          </w:tcPr>
          <w:p w14:paraId="33F32140" w14:textId="7480D804"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CORT decreases host offspring ability to compete with parasitic nestling</w:t>
            </w:r>
          </w:p>
        </w:tc>
        <w:tc>
          <w:tcPr>
            <w:tcW w:w="4446" w:type="dxa"/>
          </w:tcPr>
          <w:p w14:paraId="114F64CD" w14:textId="0DEBFDBA"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Encounter with parasite decreases CORT levels</w:t>
            </w:r>
          </w:p>
        </w:tc>
      </w:tr>
      <w:tr w:rsidR="00C21664" w:rsidRPr="00923032" w14:paraId="58824086" w14:textId="77777777" w:rsidTr="00852817">
        <w:trPr>
          <w:trHeight w:val="162"/>
        </w:trPr>
        <w:tc>
          <w:tcPr>
            <w:tcW w:w="990" w:type="dxa"/>
          </w:tcPr>
          <w:p w14:paraId="0974D40E"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61F7DA87"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7C8744C8"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6C66A164"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384A7988"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4446" w:type="dxa"/>
          </w:tcPr>
          <w:p w14:paraId="1C252828" w14:textId="31718E2E"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Females lower CORT level in the egg yolks if she perceives but does not eject a parasite egg</w:t>
            </w:r>
          </w:p>
        </w:tc>
      </w:tr>
      <w:tr w:rsidR="00C21664" w:rsidRPr="00923032" w14:paraId="66E20937" w14:textId="77777777" w:rsidTr="00217C28">
        <w:trPr>
          <w:trHeight w:val="162"/>
        </w:trPr>
        <w:tc>
          <w:tcPr>
            <w:tcW w:w="990" w:type="dxa"/>
          </w:tcPr>
          <w:p w14:paraId="21DC31D4"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Pr>
          <w:p w14:paraId="177051DB"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Pr>
          <w:p w14:paraId="4B010F1B"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800" w:type="dxa"/>
          </w:tcPr>
          <w:p w14:paraId="02AD62C4"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980" w:type="dxa"/>
          </w:tcPr>
          <w:p w14:paraId="50B2B884"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4446" w:type="dxa"/>
          </w:tcPr>
          <w:p w14:paraId="735D8C73"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r>
      <w:tr w:rsidR="00C21664" w:rsidRPr="00923032" w14:paraId="2AE03BF8" w14:textId="77777777" w:rsidTr="00217C28">
        <w:trPr>
          <w:trHeight w:val="162"/>
        </w:trPr>
        <w:tc>
          <w:tcPr>
            <w:tcW w:w="990" w:type="dxa"/>
            <w:tcBorders>
              <w:bottom w:val="single" w:sz="12" w:space="0" w:color="auto"/>
            </w:tcBorders>
          </w:tcPr>
          <w:p w14:paraId="76C858A7"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2610" w:type="dxa"/>
            <w:tcBorders>
              <w:bottom w:val="single" w:sz="12" w:space="0" w:color="auto"/>
            </w:tcBorders>
          </w:tcPr>
          <w:p w14:paraId="7EFDFC52" w14:textId="77777777" w:rsidR="00C21664" w:rsidRPr="00923032" w:rsidRDefault="00C21664" w:rsidP="00C21664">
            <w:pPr>
              <w:autoSpaceDE w:val="0"/>
              <w:autoSpaceDN w:val="0"/>
              <w:adjustRightInd w:val="0"/>
              <w:spacing w:after="120"/>
              <w:rPr>
                <w:rFonts w:ascii="Calibri" w:hAnsi="Calibri" w:cs="Calibri"/>
                <w:color w:val="000000"/>
                <w:sz w:val="18"/>
                <w:lang w:val="en-GB"/>
              </w:rPr>
            </w:pPr>
          </w:p>
        </w:tc>
        <w:tc>
          <w:tcPr>
            <w:tcW w:w="1350" w:type="dxa"/>
            <w:tcBorders>
              <w:bottom w:val="single" w:sz="12" w:space="0" w:color="auto"/>
            </w:tcBorders>
          </w:tcPr>
          <w:p w14:paraId="70C5C727" w14:textId="41C21A29"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 xml:space="preserve">Offspring </w:t>
            </w:r>
            <w:r w:rsidR="00923032">
              <w:rPr>
                <w:rFonts w:ascii="Calibri" w:hAnsi="Calibri" w:cs="Calibri"/>
                <w:color w:val="000000"/>
                <w:sz w:val="18"/>
                <w:lang w:val="en-GB"/>
              </w:rPr>
              <w:t>behaviour</w:t>
            </w:r>
          </w:p>
        </w:tc>
        <w:tc>
          <w:tcPr>
            <w:tcW w:w="1800" w:type="dxa"/>
            <w:tcBorders>
              <w:bottom w:val="single" w:sz="12" w:space="0" w:color="auto"/>
            </w:tcBorders>
          </w:tcPr>
          <w:p w14:paraId="6E761CA0" w14:textId="27271B86"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Hormones affect the competitive ability of host offspring</w:t>
            </w:r>
          </w:p>
        </w:tc>
        <w:tc>
          <w:tcPr>
            <w:tcW w:w="1980" w:type="dxa"/>
            <w:tcBorders>
              <w:bottom w:val="single" w:sz="12" w:space="0" w:color="auto"/>
            </w:tcBorders>
          </w:tcPr>
          <w:p w14:paraId="443510E6" w14:textId="78FB7FBA"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T and CORT increase host offspring ability to compete with a parasitic nestling</w:t>
            </w:r>
          </w:p>
        </w:tc>
        <w:tc>
          <w:tcPr>
            <w:tcW w:w="4446" w:type="dxa"/>
            <w:tcBorders>
              <w:bottom w:val="single" w:sz="12" w:space="0" w:color="auto"/>
            </w:tcBorders>
          </w:tcPr>
          <w:p w14:paraId="42D61B40" w14:textId="715CB0E5" w:rsidR="00C21664" w:rsidRPr="00923032" w:rsidRDefault="00C21664" w:rsidP="00C21664">
            <w:pPr>
              <w:autoSpaceDE w:val="0"/>
              <w:autoSpaceDN w:val="0"/>
              <w:adjustRightInd w:val="0"/>
              <w:spacing w:after="120"/>
              <w:rPr>
                <w:rFonts w:ascii="Calibri" w:hAnsi="Calibri" w:cs="Calibri"/>
                <w:color w:val="000000"/>
                <w:sz w:val="18"/>
                <w:lang w:val="en-GB"/>
              </w:rPr>
            </w:pPr>
            <w:r w:rsidRPr="00923032">
              <w:rPr>
                <w:rFonts w:ascii="Calibri" w:hAnsi="Calibri" w:cs="Calibri"/>
                <w:color w:val="000000"/>
                <w:sz w:val="18"/>
                <w:lang w:val="en-GB"/>
              </w:rPr>
              <w:t>Presence of parasitic nestling(s) increase T and CORT levels in host offspring</w:t>
            </w:r>
          </w:p>
        </w:tc>
      </w:tr>
    </w:tbl>
    <w:p w14:paraId="795D5E7C" w14:textId="095DE20F" w:rsidR="00A94AA6" w:rsidRPr="00923032" w:rsidRDefault="00A94AA6" w:rsidP="0028184B">
      <w:pPr>
        <w:spacing w:after="120"/>
        <w:rPr>
          <w:sz w:val="22"/>
          <w:lang w:val="en-GB"/>
        </w:rPr>
      </w:pPr>
    </w:p>
    <w:sectPr w:rsidR="00A94AA6" w:rsidRPr="00923032" w:rsidSect="00C2685E">
      <w:pgSz w:w="15840" w:h="12240" w:orient="landscape"/>
      <w:pgMar w:top="144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88E3A" w14:textId="77777777" w:rsidR="0002772C" w:rsidRDefault="0002772C" w:rsidP="0028184B">
      <w:r>
        <w:separator/>
      </w:r>
    </w:p>
  </w:endnote>
  <w:endnote w:type="continuationSeparator" w:id="0">
    <w:p w14:paraId="3DF62C80" w14:textId="77777777" w:rsidR="0002772C" w:rsidRDefault="0002772C" w:rsidP="0028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28E5C" w14:textId="77777777" w:rsidR="0002772C" w:rsidRDefault="0002772C" w:rsidP="0028184B">
      <w:r>
        <w:separator/>
      </w:r>
    </w:p>
  </w:footnote>
  <w:footnote w:type="continuationSeparator" w:id="0">
    <w:p w14:paraId="3103A7C6" w14:textId="77777777" w:rsidR="0002772C" w:rsidRDefault="0002772C" w:rsidP="00281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5E"/>
    <w:rsid w:val="000028D9"/>
    <w:rsid w:val="000077B4"/>
    <w:rsid w:val="00021A5F"/>
    <w:rsid w:val="0002772C"/>
    <w:rsid w:val="000662B1"/>
    <w:rsid w:val="000D24FB"/>
    <w:rsid w:val="000D3EF1"/>
    <w:rsid w:val="000E73C5"/>
    <w:rsid w:val="00130D61"/>
    <w:rsid w:val="00185473"/>
    <w:rsid w:val="001B550B"/>
    <w:rsid w:val="001F34ED"/>
    <w:rsid w:val="00217C28"/>
    <w:rsid w:val="0022551F"/>
    <w:rsid w:val="0027666A"/>
    <w:rsid w:val="0028184B"/>
    <w:rsid w:val="002D73C5"/>
    <w:rsid w:val="00311558"/>
    <w:rsid w:val="003138A9"/>
    <w:rsid w:val="00333F33"/>
    <w:rsid w:val="00390AE4"/>
    <w:rsid w:val="003E19CB"/>
    <w:rsid w:val="004535BB"/>
    <w:rsid w:val="004C3900"/>
    <w:rsid w:val="00565B7D"/>
    <w:rsid w:val="00606B14"/>
    <w:rsid w:val="0061593D"/>
    <w:rsid w:val="006849DB"/>
    <w:rsid w:val="006A5F2C"/>
    <w:rsid w:val="00702F1B"/>
    <w:rsid w:val="00706374"/>
    <w:rsid w:val="0074185E"/>
    <w:rsid w:val="00774B56"/>
    <w:rsid w:val="00786856"/>
    <w:rsid w:val="00852817"/>
    <w:rsid w:val="00876689"/>
    <w:rsid w:val="00893CF1"/>
    <w:rsid w:val="008A15B9"/>
    <w:rsid w:val="008E7457"/>
    <w:rsid w:val="009124C2"/>
    <w:rsid w:val="00923032"/>
    <w:rsid w:val="0094049B"/>
    <w:rsid w:val="009558CF"/>
    <w:rsid w:val="00986F0C"/>
    <w:rsid w:val="009C3CD5"/>
    <w:rsid w:val="009C707B"/>
    <w:rsid w:val="009C7BE3"/>
    <w:rsid w:val="00A760E8"/>
    <w:rsid w:val="00A94AA6"/>
    <w:rsid w:val="00B22393"/>
    <w:rsid w:val="00B27FCE"/>
    <w:rsid w:val="00B6350A"/>
    <w:rsid w:val="00BA314F"/>
    <w:rsid w:val="00C21664"/>
    <w:rsid w:val="00C2685E"/>
    <w:rsid w:val="00C31D4A"/>
    <w:rsid w:val="00C37457"/>
    <w:rsid w:val="00CD4046"/>
    <w:rsid w:val="00D01461"/>
    <w:rsid w:val="00D7236B"/>
    <w:rsid w:val="00E12137"/>
    <w:rsid w:val="00E96598"/>
    <w:rsid w:val="00EB0FF6"/>
    <w:rsid w:val="00EC0635"/>
    <w:rsid w:val="00EC682F"/>
    <w:rsid w:val="00F7027E"/>
    <w:rsid w:val="00FA3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0F4F0"/>
  <w15:docId w15:val="{A5A9D74D-FFF6-4345-B022-4FB642CB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CD5"/>
    <w:rPr>
      <w:rFonts w:ascii="Lucida Grande" w:hAnsi="Lucida Grande"/>
      <w:sz w:val="18"/>
      <w:szCs w:val="18"/>
    </w:rPr>
  </w:style>
  <w:style w:type="character" w:customStyle="1" w:styleId="BalloonTextChar">
    <w:name w:val="Balloon Text Char"/>
    <w:basedOn w:val="DefaultParagraphFont"/>
    <w:link w:val="BalloonText"/>
    <w:uiPriority w:val="99"/>
    <w:semiHidden/>
    <w:rsid w:val="009C3CD5"/>
    <w:rPr>
      <w:rFonts w:ascii="Lucida Grande" w:hAnsi="Lucida Grande"/>
      <w:sz w:val="18"/>
      <w:szCs w:val="18"/>
    </w:rPr>
  </w:style>
  <w:style w:type="character" w:styleId="CommentReference">
    <w:name w:val="annotation reference"/>
    <w:basedOn w:val="DefaultParagraphFont"/>
    <w:uiPriority w:val="99"/>
    <w:semiHidden/>
    <w:unhideWhenUsed/>
    <w:rsid w:val="009C3CD5"/>
    <w:rPr>
      <w:sz w:val="18"/>
      <w:szCs w:val="18"/>
    </w:rPr>
  </w:style>
  <w:style w:type="paragraph" w:styleId="CommentText">
    <w:name w:val="annotation text"/>
    <w:basedOn w:val="Normal"/>
    <w:link w:val="CommentTextChar"/>
    <w:uiPriority w:val="99"/>
    <w:unhideWhenUsed/>
    <w:rsid w:val="009C3CD5"/>
  </w:style>
  <w:style w:type="character" w:customStyle="1" w:styleId="CommentTextChar">
    <w:name w:val="Comment Text Char"/>
    <w:basedOn w:val="DefaultParagraphFont"/>
    <w:link w:val="CommentText"/>
    <w:uiPriority w:val="99"/>
    <w:rsid w:val="009C3CD5"/>
  </w:style>
  <w:style w:type="paragraph" w:styleId="CommentSubject">
    <w:name w:val="annotation subject"/>
    <w:basedOn w:val="CommentText"/>
    <w:next w:val="CommentText"/>
    <w:link w:val="CommentSubjectChar"/>
    <w:uiPriority w:val="99"/>
    <w:semiHidden/>
    <w:unhideWhenUsed/>
    <w:rsid w:val="009C3CD5"/>
    <w:rPr>
      <w:b/>
      <w:bCs/>
      <w:sz w:val="20"/>
      <w:szCs w:val="20"/>
    </w:rPr>
  </w:style>
  <w:style w:type="character" w:customStyle="1" w:styleId="CommentSubjectChar">
    <w:name w:val="Comment Subject Char"/>
    <w:basedOn w:val="CommentTextChar"/>
    <w:link w:val="CommentSubject"/>
    <w:uiPriority w:val="99"/>
    <w:semiHidden/>
    <w:rsid w:val="009C3CD5"/>
    <w:rPr>
      <w:b/>
      <w:bCs/>
      <w:sz w:val="20"/>
      <w:szCs w:val="20"/>
    </w:rPr>
  </w:style>
  <w:style w:type="table" w:customStyle="1" w:styleId="GridTable1Light-Accent31">
    <w:name w:val="Grid Table 1 Light - Accent 31"/>
    <w:basedOn w:val="TableNormal"/>
    <w:uiPriority w:val="46"/>
    <w:rsid w:val="0078685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Revision">
    <w:name w:val="Revision"/>
    <w:hidden/>
    <w:uiPriority w:val="99"/>
    <w:semiHidden/>
    <w:rsid w:val="00390AE4"/>
  </w:style>
  <w:style w:type="character" w:customStyle="1" w:styleId="normaltextrun">
    <w:name w:val="normaltextrun"/>
    <w:basedOn w:val="DefaultParagraphFont"/>
    <w:rsid w:val="00986F0C"/>
  </w:style>
  <w:style w:type="character" w:customStyle="1" w:styleId="findhit">
    <w:name w:val="findhit"/>
    <w:basedOn w:val="DefaultParagraphFont"/>
    <w:rsid w:val="00986F0C"/>
  </w:style>
  <w:style w:type="paragraph" w:styleId="Header">
    <w:name w:val="header"/>
    <w:basedOn w:val="Normal"/>
    <w:link w:val="HeaderChar"/>
    <w:uiPriority w:val="99"/>
    <w:unhideWhenUsed/>
    <w:rsid w:val="0028184B"/>
    <w:pPr>
      <w:tabs>
        <w:tab w:val="center" w:pos="4680"/>
        <w:tab w:val="right" w:pos="9360"/>
      </w:tabs>
    </w:pPr>
  </w:style>
  <w:style w:type="character" w:customStyle="1" w:styleId="HeaderChar">
    <w:name w:val="Header Char"/>
    <w:basedOn w:val="DefaultParagraphFont"/>
    <w:link w:val="Header"/>
    <w:uiPriority w:val="99"/>
    <w:rsid w:val="0028184B"/>
  </w:style>
  <w:style w:type="paragraph" w:styleId="Footer">
    <w:name w:val="footer"/>
    <w:basedOn w:val="Normal"/>
    <w:link w:val="FooterChar"/>
    <w:uiPriority w:val="99"/>
    <w:unhideWhenUsed/>
    <w:rsid w:val="0028184B"/>
    <w:pPr>
      <w:tabs>
        <w:tab w:val="center" w:pos="4680"/>
        <w:tab w:val="right" w:pos="9360"/>
      </w:tabs>
    </w:pPr>
  </w:style>
  <w:style w:type="character" w:customStyle="1" w:styleId="FooterChar">
    <w:name w:val="Footer Char"/>
    <w:basedOn w:val="DefaultParagraphFont"/>
    <w:link w:val="Footer"/>
    <w:uiPriority w:val="99"/>
    <w:rsid w:val="0028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25436-8351-FD41-BEFF-58BFDA99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Abolins-Abols</dc:creator>
  <cp:keywords/>
  <dc:description/>
  <cp:lastModifiedBy>Mikus Abolins-Abols</cp:lastModifiedBy>
  <cp:revision>10</cp:revision>
  <cp:lastPrinted>2018-05-01T01:17:00Z</cp:lastPrinted>
  <dcterms:created xsi:type="dcterms:W3CDTF">2018-07-11T17:11:00Z</dcterms:created>
  <dcterms:modified xsi:type="dcterms:W3CDTF">2018-08-10T20:10:00Z</dcterms:modified>
</cp:coreProperties>
</file>