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8B" w:rsidRPr="00A876E4" w:rsidRDefault="0043088B">
      <w:pPr>
        <w:rPr>
          <w:rFonts w:ascii="Palatino Linotype" w:hAnsi="Palatino Linotype"/>
          <w:b/>
        </w:rPr>
      </w:pPr>
      <w:r w:rsidRPr="00A876E4">
        <w:rPr>
          <w:rFonts w:ascii="Palatino Linotype" w:hAnsi="Palatino Linotype"/>
          <w:b/>
        </w:rPr>
        <w:t xml:space="preserve">Supplementary Material to accompany </w:t>
      </w:r>
    </w:p>
    <w:p w:rsidR="0043088B" w:rsidRPr="00A876E4" w:rsidRDefault="0043088B" w:rsidP="004A4B0D">
      <w:pPr>
        <w:pStyle w:val="Title"/>
        <w:jc w:val="left"/>
        <w:rPr>
          <w:rFonts w:ascii="Palatino Linotype" w:hAnsi="Palatino Linotype"/>
          <w:sz w:val="24"/>
          <w:szCs w:val="24"/>
        </w:rPr>
      </w:pPr>
      <w:r w:rsidRPr="00A876E4">
        <w:rPr>
          <w:rFonts w:ascii="Palatino Linotype" w:hAnsi="Palatino Linotype"/>
          <w:sz w:val="24"/>
          <w:szCs w:val="24"/>
        </w:rPr>
        <w:t>Capturing the global signature of surface ocean acidification during the Paleocene-Eocene Thermal Maximum</w:t>
      </w:r>
    </w:p>
    <w:p w:rsidR="0043088B" w:rsidRPr="00A876E4" w:rsidRDefault="0043088B" w:rsidP="004A4B0D">
      <w:pPr>
        <w:pStyle w:val="02Authornames"/>
        <w:rPr>
          <w:rFonts w:ascii="Palatino Linotype" w:hAnsi="Palatino Linotype"/>
        </w:rPr>
      </w:pPr>
      <w:r w:rsidRPr="00A876E4">
        <w:rPr>
          <w:rFonts w:ascii="Palatino Linotype" w:hAnsi="Palatino Linotype"/>
        </w:rPr>
        <w:t>Tali L. Babila*, Donald E. Penman, Bärbel Hönisch, D. Clay Kelly, Timothy J. Bralower</w:t>
      </w:r>
      <w:r w:rsidRPr="00A876E4">
        <w:rPr>
          <w:rFonts w:ascii="Palatino Linotype" w:hAnsi="Palatino Linotype"/>
          <w:vertAlign w:val="superscript"/>
        </w:rPr>
        <w:t>,</w:t>
      </w:r>
      <w:r w:rsidRPr="00A876E4">
        <w:rPr>
          <w:rFonts w:ascii="Palatino Linotype" w:hAnsi="Palatino Linotype"/>
        </w:rPr>
        <w:t xml:space="preserve"> Yair Rosenthal</w:t>
      </w:r>
      <w:r w:rsidRPr="00A876E4">
        <w:rPr>
          <w:rFonts w:ascii="Palatino Linotype" w:hAnsi="Palatino Linotype"/>
          <w:vertAlign w:val="superscript"/>
        </w:rPr>
        <w:t xml:space="preserve"> </w:t>
      </w:r>
      <w:r w:rsidRPr="00A876E4">
        <w:rPr>
          <w:rFonts w:ascii="Palatino Linotype" w:hAnsi="Palatino Linotype"/>
        </w:rPr>
        <w:t>and James C. Zachos</w:t>
      </w:r>
    </w:p>
    <w:p w:rsidR="0043088B" w:rsidRPr="00A876E4" w:rsidRDefault="0043088B" w:rsidP="004A4B0D">
      <w:pPr>
        <w:pStyle w:val="02Authornames"/>
        <w:rPr>
          <w:rFonts w:ascii="Palatino Linotype" w:hAnsi="Palatino Linotype"/>
        </w:rPr>
      </w:pPr>
      <w:r w:rsidRPr="00A876E4">
        <w:rPr>
          <w:rFonts w:ascii="Palatino Linotype" w:hAnsi="Palatino Linotype"/>
        </w:rPr>
        <w:t>*To whom correspondence should be addressed. Email: t.babila@soton.ac.uk</w:t>
      </w:r>
    </w:p>
    <w:p w:rsidR="0043088B" w:rsidRPr="00A876E4" w:rsidRDefault="0043088B">
      <w:pPr>
        <w:rPr>
          <w:rFonts w:ascii="Palatino Linotype" w:hAnsi="Palatino Linotype"/>
        </w:rPr>
      </w:pPr>
      <w:r w:rsidRPr="00A876E4">
        <w:rPr>
          <w:rFonts w:ascii="Palatino Linotype" w:hAnsi="Palatino Linotype"/>
        </w:rPr>
        <w:t>This file includes age model description, Figure S1 and Table S1-S3.</w:t>
      </w:r>
    </w:p>
    <w:p w:rsidR="0043088B" w:rsidRPr="00A876E4" w:rsidRDefault="0043088B">
      <w:pPr>
        <w:rPr>
          <w:rFonts w:ascii="Palatino Linotype" w:hAnsi="Palatino Linotype"/>
          <w:i/>
        </w:rPr>
      </w:pPr>
      <w:r w:rsidRPr="00A876E4">
        <w:rPr>
          <w:rFonts w:ascii="Palatino Linotype" w:hAnsi="Palatino Linotype"/>
          <w:i/>
        </w:rPr>
        <w:t>Age Models</w:t>
      </w:r>
    </w:p>
    <w:p w:rsidR="0043088B" w:rsidRPr="00A876E4" w:rsidRDefault="0043088B" w:rsidP="00A65DB2">
      <w:pPr>
        <w:ind w:firstLine="720"/>
        <w:rPr>
          <w:rFonts w:ascii="Palatino Linotype" w:hAnsi="Palatino Linotype"/>
        </w:rPr>
      </w:pPr>
      <w:r w:rsidRPr="00A876E4">
        <w:rPr>
          <w:rFonts w:ascii="Palatino Linotype" w:hAnsi="Palatino Linotype"/>
        </w:rPr>
        <w:t>The onset of the carbon isotope excursion (CIE) is identified as an abrupt decrease in carbon isotope values. Directly following the CIE onset is a depth interval with sustained negative δ</w:t>
      </w:r>
      <w:r w:rsidRPr="00A876E4">
        <w:rPr>
          <w:rFonts w:ascii="Palatino Linotype" w:hAnsi="Palatino Linotype"/>
          <w:vertAlign w:val="superscript"/>
        </w:rPr>
        <w:t>13</w:t>
      </w:r>
      <w:r w:rsidRPr="00A876E4">
        <w:rPr>
          <w:rFonts w:ascii="Palatino Linotype" w:hAnsi="Palatino Linotype"/>
        </w:rPr>
        <w:t>C values, termed here as the CIE core. The recovery occurs in two phases marked as successive rapid (I) and gradual (II) transitions towards positive δ</w:t>
      </w:r>
      <w:r w:rsidRPr="00A876E4">
        <w:rPr>
          <w:rFonts w:ascii="Palatino Linotype" w:hAnsi="Palatino Linotype"/>
          <w:vertAlign w:val="superscript"/>
        </w:rPr>
        <w:t>13</w:t>
      </w:r>
      <w:r w:rsidRPr="00A876E4">
        <w:rPr>
          <w:rFonts w:ascii="Palatino Linotype" w:hAnsi="Palatino Linotype"/>
        </w:rPr>
        <w:t xml:space="preserve">C values (Figure </w:t>
      </w:r>
      <w:r>
        <w:rPr>
          <w:rFonts w:ascii="Palatino Linotype" w:hAnsi="Palatino Linotype"/>
        </w:rPr>
        <w:t>2d</w:t>
      </w:r>
      <w:r w:rsidRPr="00A876E4">
        <w:rPr>
          <w:rFonts w:ascii="Palatino Linotype" w:hAnsi="Palatino Linotype"/>
        </w:rPr>
        <w:t xml:space="preserve">). </w:t>
      </w:r>
    </w:p>
    <w:p w:rsidR="0043088B" w:rsidRPr="00A876E4" w:rsidRDefault="0043088B" w:rsidP="00201B77">
      <w:pPr>
        <w:ind w:firstLine="720"/>
        <w:rPr>
          <w:rFonts w:ascii="Palatino Linotype" w:hAnsi="Palatino Linotype"/>
        </w:rPr>
      </w:pPr>
      <w:r w:rsidRPr="00A876E4">
        <w:rPr>
          <w:rFonts w:ascii="Palatino Linotype" w:hAnsi="Palatino Linotype"/>
        </w:rPr>
        <w:t>At the New Jersey margin, upper Paleocene average sedimentation rates are estimated at 0.1-1.0 cm/</w:t>
      </w:r>
      <w:proofErr w:type="spellStart"/>
      <w:r w:rsidRPr="00A876E4">
        <w:rPr>
          <w:rFonts w:ascii="Palatino Linotype" w:hAnsi="Palatino Linotype"/>
        </w:rPr>
        <w:t>kyr</w:t>
      </w:r>
      <w:proofErr w:type="spellEnd"/>
      <w:r w:rsidRPr="00A876E4">
        <w:rPr>
          <w:rFonts w:ascii="Palatino Linotype" w:hAnsi="Palatino Linotype"/>
        </w:rPr>
        <w:t xml:space="preserve"> and increase to 7-8 cm/</w:t>
      </w:r>
      <w:proofErr w:type="spellStart"/>
      <w:r w:rsidRPr="00A876E4">
        <w:rPr>
          <w:rFonts w:ascii="Palatino Linotype" w:hAnsi="Palatino Linotype"/>
        </w:rPr>
        <w:t>kyr</w:t>
      </w:r>
      <w:proofErr w:type="spellEnd"/>
      <w:r w:rsidRPr="00A876E4">
        <w:rPr>
          <w:rFonts w:ascii="Palatino Linotype" w:hAnsi="Palatino Linotype"/>
        </w:rPr>
        <w:t xml:space="preserve"> </w:t>
      </w:r>
      <w:r w:rsidRPr="00A876E4">
        <w:rPr>
          <w:rFonts w:ascii="Palatino Linotype" w:hAnsi="Palatino Linotype"/>
          <w:noProof/>
        </w:rPr>
        <w:t>[1]</w:t>
      </w:r>
      <w:r w:rsidR="009A1146">
        <w:rPr>
          <w:rFonts w:ascii="Palatino Linotype" w:hAnsi="Palatino Linotype"/>
        </w:rPr>
        <w:t xml:space="preserve"> during the CIE </w:t>
      </w:r>
      <w:r w:rsidRPr="00A876E4">
        <w:rPr>
          <w:rFonts w:ascii="Palatino Linotype" w:hAnsi="Palatino Linotype"/>
        </w:rPr>
        <w:t xml:space="preserve">due to enhanced input of siliciclastic material linked to an intensification of the hydrologic cycle </w:t>
      </w:r>
      <w:r w:rsidRPr="00A876E4">
        <w:rPr>
          <w:rFonts w:ascii="Palatino Linotype" w:hAnsi="Palatino Linotype"/>
          <w:noProof/>
        </w:rPr>
        <w:t>[2, 3]</w:t>
      </w:r>
      <w:r w:rsidRPr="00A876E4">
        <w:rPr>
          <w:rFonts w:ascii="Palatino Linotype" w:hAnsi="Palatino Linotype"/>
        </w:rPr>
        <w:t xml:space="preserve">. A range of sedimentation rates for the PETM interval are presented in the literature for New Jersey shelf sites. For the present study, precise correlation between sites, rather than exact age control, is the priority and for this reason we rely on the age constraints of Stassen et al., </w:t>
      </w:r>
      <w:r w:rsidRPr="00A876E4">
        <w:rPr>
          <w:rFonts w:ascii="Palatino Linotype" w:hAnsi="Palatino Linotype"/>
          <w:noProof/>
        </w:rPr>
        <w:t>[1]</w:t>
      </w:r>
      <w:r w:rsidRPr="00A876E4">
        <w:rPr>
          <w:rFonts w:ascii="Palatino Linotype" w:hAnsi="Palatino Linotype"/>
        </w:rPr>
        <w:t xml:space="preserve"> for Bass River and </w:t>
      </w:r>
      <w:proofErr w:type="spellStart"/>
      <w:r w:rsidRPr="00A876E4">
        <w:rPr>
          <w:rFonts w:ascii="Palatino Linotype" w:hAnsi="Palatino Linotype"/>
        </w:rPr>
        <w:t>Ancora</w:t>
      </w:r>
      <w:proofErr w:type="spellEnd"/>
      <w:r w:rsidRPr="00A876E4">
        <w:rPr>
          <w:rFonts w:ascii="Palatino Linotype" w:hAnsi="Palatino Linotype"/>
        </w:rPr>
        <w:t xml:space="preserve">, the only current effort to construct an integrated stratigraphy amongst the shelf sites. The Millville site, however, was </w:t>
      </w:r>
      <w:r w:rsidR="00B94E6C">
        <w:rPr>
          <w:rFonts w:ascii="Palatino Linotype" w:hAnsi="Palatino Linotype"/>
        </w:rPr>
        <w:t>not included by Stassen et al.,</w:t>
      </w:r>
      <w:r w:rsidRPr="00A876E4">
        <w:rPr>
          <w:rFonts w:ascii="Palatino Linotype" w:hAnsi="Palatino Linotype"/>
        </w:rPr>
        <w:t xml:space="preserve"> </w:t>
      </w:r>
      <w:r w:rsidRPr="00A876E4">
        <w:rPr>
          <w:rFonts w:ascii="Palatino Linotype" w:hAnsi="Palatino Linotype"/>
          <w:noProof/>
        </w:rPr>
        <w:t>[1]</w:t>
      </w:r>
      <w:r w:rsidRPr="00A876E4">
        <w:rPr>
          <w:rFonts w:ascii="Palatino Linotype" w:hAnsi="Palatino Linotype"/>
        </w:rPr>
        <w:t xml:space="preserve"> and we correlated bulk carbonate δ</w:t>
      </w:r>
      <w:r w:rsidRPr="00A876E4">
        <w:rPr>
          <w:rFonts w:ascii="Palatino Linotype" w:hAnsi="Palatino Linotype"/>
          <w:vertAlign w:val="superscript"/>
        </w:rPr>
        <w:t>13</w:t>
      </w:r>
      <w:r w:rsidRPr="00A876E4">
        <w:rPr>
          <w:rFonts w:ascii="Palatino Linotype" w:hAnsi="Palatino Linotype"/>
        </w:rPr>
        <w:t xml:space="preserve">C tie points of the CIE onset (273.96 m) and recovery (263.63 m) to Sites </w:t>
      </w:r>
      <w:proofErr w:type="spellStart"/>
      <w:r w:rsidRPr="00A876E4">
        <w:rPr>
          <w:rFonts w:ascii="Palatino Linotype" w:hAnsi="Palatino Linotype"/>
        </w:rPr>
        <w:t>Ancora</w:t>
      </w:r>
      <w:proofErr w:type="spellEnd"/>
      <w:r w:rsidRPr="00A876E4">
        <w:rPr>
          <w:rFonts w:ascii="Palatino Linotype" w:hAnsi="Palatino Linotype"/>
        </w:rPr>
        <w:t xml:space="preserve"> and Bass River to estimate sedimentation rate within the CIE core </w:t>
      </w:r>
      <w:r w:rsidRPr="00A876E4">
        <w:rPr>
          <w:rFonts w:ascii="Palatino Linotype" w:hAnsi="Palatino Linotype"/>
          <w:noProof/>
        </w:rPr>
        <w:t>[4]</w:t>
      </w:r>
      <w:r w:rsidRPr="00A876E4">
        <w:rPr>
          <w:rFonts w:ascii="Palatino Linotype" w:hAnsi="Palatino Linotype"/>
        </w:rPr>
        <w:t xml:space="preserve">. The regional unconformity within the Marlboro Formation truncates the PETM sections during the CIE </w:t>
      </w:r>
      <w:bookmarkStart w:id="0" w:name="_GoBack"/>
      <w:bookmarkEnd w:id="0"/>
      <w:r w:rsidRPr="00A876E4">
        <w:rPr>
          <w:rFonts w:ascii="Palatino Linotype" w:hAnsi="Palatino Linotype"/>
        </w:rPr>
        <w:t xml:space="preserve">recovery phase II at Bass River and </w:t>
      </w:r>
      <w:proofErr w:type="spellStart"/>
      <w:r w:rsidRPr="00A876E4">
        <w:rPr>
          <w:rFonts w:ascii="Palatino Linotype" w:hAnsi="Palatino Linotype"/>
        </w:rPr>
        <w:t>Ancora</w:t>
      </w:r>
      <w:proofErr w:type="spellEnd"/>
      <w:r w:rsidRPr="00A876E4">
        <w:rPr>
          <w:rFonts w:ascii="Palatino Linotype" w:hAnsi="Palatino Linotype"/>
        </w:rPr>
        <w:t xml:space="preserve"> sites, although the latter site is relatively more complete. </w:t>
      </w:r>
    </w:p>
    <w:p w:rsidR="0043088B" w:rsidRPr="00A876E4" w:rsidRDefault="0043088B" w:rsidP="00770521">
      <w:pPr>
        <w:ind w:firstLine="720"/>
        <w:rPr>
          <w:rFonts w:ascii="Palatino Linotype" w:hAnsi="Palatino Linotype"/>
        </w:rPr>
      </w:pPr>
      <w:r w:rsidRPr="00A876E4">
        <w:rPr>
          <w:rFonts w:ascii="Palatino Linotype" w:hAnsi="Palatino Linotype"/>
        </w:rPr>
        <w:t xml:space="preserve">The CIE at Site 690 was first identified by </w:t>
      </w:r>
      <w:r w:rsidRPr="00A876E4">
        <w:rPr>
          <w:rFonts w:ascii="Palatino Linotype" w:hAnsi="Palatino Linotype"/>
          <w:noProof/>
        </w:rPr>
        <w:t>Kennett and Stott [5]</w:t>
      </w:r>
      <w:r w:rsidRPr="00A876E4">
        <w:rPr>
          <w:rFonts w:ascii="Palatino Linotype" w:hAnsi="Palatino Linotype"/>
        </w:rPr>
        <w:t>, and the bulk carbonate δ</w:t>
      </w:r>
      <w:r w:rsidRPr="00A876E4">
        <w:rPr>
          <w:rFonts w:ascii="Palatino Linotype" w:hAnsi="Palatino Linotype"/>
          <w:vertAlign w:val="superscript"/>
        </w:rPr>
        <w:t>13</w:t>
      </w:r>
      <w:r w:rsidRPr="00A876E4">
        <w:rPr>
          <w:rFonts w:ascii="Palatino Linotype" w:hAnsi="Palatino Linotype"/>
        </w:rPr>
        <w:t xml:space="preserve">C record was correlated to an </w:t>
      </w:r>
      <w:proofErr w:type="spellStart"/>
      <w:r w:rsidRPr="00A876E4">
        <w:rPr>
          <w:rFonts w:ascii="Palatino Linotype" w:hAnsi="Palatino Linotype"/>
        </w:rPr>
        <w:t>orbitally</w:t>
      </w:r>
      <w:proofErr w:type="spellEnd"/>
      <w:r w:rsidRPr="00A876E4">
        <w:rPr>
          <w:rFonts w:ascii="Palatino Linotype" w:hAnsi="Palatino Linotype"/>
        </w:rPr>
        <w:t xml:space="preserve"> tuned age model </w:t>
      </w:r>
      <w:r w:rsidRPr="00A876E4">
        <w:rPr>
          <w:rFonts w:ascii="Palatino Linotype" w:hAnsi="Palatino Linotype"/>
          <w:noProof/>
        </w:rPr>
        <w:t>[6]</w:t>
      </w:r>
      <w:r w:rsidRPr="00A876E4">
        <w:rPr>
          <w:rFonts w:ascii="Palatino Linotype" w:hAnsi="Palatino Linotype"/>
        </w:rPr>
        <w:t xml:space="preserve">. </w:t>
      </w:r>
      <w:proofErr w:type="spellStart"/>
      <w:r w:rsidRPr="00A876E4">
        <w:rPr>
          <w:rFonts w:ascii="Palatino Linotype" w:hAnsi="Palatino Linotype"/>
        </w:rPr>
        <w:t>Chemostratigraphic</w:t>
      </w:r>
      <w:proofErr w:type="spellEnd"/>
      <w:r w:rsidRPr="00A876E4">
        <w:rPr>
          <w:rFonts w:ascii="Palatino Linotype" w:hAnsi="Palatino Linotype"/>
        </w:rPr>
        <w:t xml:space="preserve"> tie points previously defined on Site 690 bulk carbonate δ</w:t>
      </w:r>
      <w:r w:rsidRPr="00A876E4">
        <w:rPr>
          <w:rFonts w:ascii="Palatino Linotype" w:hAnsi="Palatino Linotype"/>
          <w:vertAlign w:val="superscript"/>
        </w:rPr>
        <w:t>13</w:t>
      </w:r>
      <w:r w:rsidRPr="00A876E4">
        <w:rPr>
          <w:rFonts w:ascii="Palatino Linotype" w:hAnsi="Palatino Linotype"/>
        </w:rPr>
        <w:t xml:space="preserve">C records </w:t>
      </w:r>
      <w:r w:rsidRPr="00A876E4">
        <w:rPr>
          <w:rFonts w:ascii="Palatino Linotype" w:hAnsi="Palatino Linotype"/>
          <w:noProof/>
        </w:rPr>
        <w:t>[7]</w:t>
      </w:r>
      <w:r w:rsidRPr="00A876E4">
        <w:rPr>
          <w:rFonts w:ascii="Palatino Linotype" w:hAnsi="Palatino Linotype"/>
        </w:rPr>
        <w:t xml:space="preserve"> and later refined in the South Atlantic </w:t>
      </w:r>
      <w:r w:rsidRPr="00A876E4">
        <w:rPr>
          <w:rFonts w:ascii="Palatino Linotype" w:hAnsi="Palatino Linotype"/>
          <w:noProof/>
        </w:rPr>
        <w:t>[8]</w:t>
      </w:r>
      <w:r w:rsidRPr="00A876E4">
        <w:rPr>
          <w:rFonts w:ascii="Palatino Linotype" w:hAnsi="Palatino Linotype"/>
        </w:rPr>
        <w:t xml:space="preserve"> were used to develop an age model for nearby Site 689 </w:t>
      </w:r>
      <w:r w:rsidRPr="00A876E4">
        <w:rPr>
          <w:rFonts w:ascii="Palatino Linotype" w:hAnsi="Palatino Linotype"/>
          <w:noProof/>
        </w:rPr>
        <w:t>[9]</w:t>
      </w:r>
      <w:r w:rsidRPr="00A876E4">
        <w:rPr>
          <w:rFonts w:ascii="Palatino Linotype" w:hAnsi="Palatino Linotype"/>
        </w:rPr>
        <w:t xml:space="preserve">. Average sedimentation rates between tie points were assumed and interpolated over the sampled depth range. Site 690 contains the entire CIE onset, body, and recovery, while Site 689 captures the onset of the CIE at higher </w:t>
      </w:r>
      <w:r w:rsidRPr="00A876E4">
        <w:rPr>
          <w:rFonts w:ascii="Palatino Linotype" w:hAnsi="Palatino Linotype"/>
        </w:rPr>
        <w:lastRenderedPageBreak/>
        <w:t>sedimentation rate but does not contain the full CIE body or recovery due to incomplete core recovery.</w:t>
      </w:r>
    </w:p>
    <w:p w:rsidR="0043088B" w:rsidRPr="00A876E4" w:rsidRDefault="0043088B" w:rsidP="00863B4D">
      <w:pPr>
        <w:pStyle w:val="NoSpacing"/>
        <w:rPr>
          <w:rFonts w:ascii="Palatino Linotype" w:hAnsi="Palatino Linotype"/>
        </w:rPr>
      </w:pPr>
      <w:r w:rsidRPr="00A876E4">
        <w:rPr>
          <w:rFonts w:ascii="Palatino Linotype" w:hAnsi="Palatino Linotype"/>
          <w:b/>
        </w:rPr>
        <w:t>Table S1</w:t>
      </w:r>
      <w:r w:rsidRPr="00A876E4">
        <w:rPr>
          <w:rFonts w:ascii="Palatino Linotype" w:hAnsi="Palatino Linotype"/>
        </w:rPr>
        <w:t xml:space="preserve">. Site </w:t>
      </w:r>
      <w:proofErr w:type="spellStart"/>
      <w:r w:rsidRPr="00A876E4">
        <w:rPr>
          <w:rFonts w:ascii="Palatino Linotype" w:hAnsi="Palatino Linotype"/>
        </w:rPr>
        <w:t>Ancora</w:t>
      </w:r>
      <w:proofErr w:type="spellEnd"/>
      <w:r w:rsidRPr="00A876E4">
        <w:rPr>
          <w:rFonts w:ascii="Palatino Linotype" w:hAnsi="Palatino Linotype"/>
        </w:rPr>
        <w:t xml:space="preserve"> planktonic foraminifera B/Ca. </w:t>
      </w:r>
    </w:p>
    <w:p w:rsidR="0043088B" w:rsidRPr="00A876E4" w:rsidRDefault="0043088B" w:rsidP="005C1CDB">
      <w:pPr>
        <w:pStyle w:val="NoSpacing"/>
        <w:rPr>
          <w:rFonts w:ascii="Palatino Linotype" w:hAnsi="Palatino Linotype"/>
        </w:rPr>
      </w:pPr>
      <w:proofErr w:type="spellStart"/>
      <w:r w:rsidRPr="00A876E4">
        <w:rPr>
          <w:rFonts w:ascii="Palatino Linotype" w:hAnsi="Palatino Linotype"/>
          <w:vertAlign w:val="superscript"/>
        </w:rPr>
        <w:t>a</w:t>
      </w:r>
      <w:proofErr w:type="spellEnd"/>
      <w:r w:rsidRPr="00A876E4">
        <w:rPr>
          <w:rFonts w:ascii="Palatino Linotype" w:hAnsi="Palatino Linotype"/>
          <w:vertAlign w:val="superscript"/>
        </w:rPr>
        <w:t xml:space="preserve"> </w:t>
      </w:r>
      <w:r w:rsidRPr="00A876E4">
        <w:rPr>
          <w:rFonts w:ascii="Palatino Linotype" w:hAnsi="Palatino Linotype"/>
        </w:rPr>
        <w:t xml:space="preserve">Average sample depth interval. </w:t>
      </w:r>
    </w:p>
    <w:p w:rsidR="0043088B" w:rsidRPr="00A876E4" w:rsidRDefault="0043088B" w:rsidP="004431F6">
      <w:pPr>
        <w:pStyle w:val="NoSpacing"/>
        <w:rPr>
          <w:rFonts w:ascii="Palatino Linotype" w:hAnsi="Palatino Linotype"/>
        </w:rPr>
      </w:pPr>
      <w:proofErr w:type="gramStart"/>
      <w:r w:rsidRPr="00A876E4">
        <w:rPr>
          <w:rFonts w:ascii="Palatino Linotype" w:hAnsi="Palatino Linotype"/>
          <w:vertAlign w:val="superscript"/>
        </w:rPr>
        <w:t xml:space="preserve">b  </w:t>
      </w:r>
      <w:r w:rsidRPr="00A876E4">
        <w:rPr>
          <w:rFonts w:ascii="Palatino Linotype" w:hAnsi="Palatino Linotype"/>
        </w:rPr>
        <w:t>The</w:t>
      </w:r>
      <w:proofErr w:type="gramEnd"/>
      <w:r w:rsidRPr="00A876E4">
        <w:rPr>
          <w:rFonts w:ascii="Palatino Linotype" w:hAnsi="Palatino Linotype"/>
        </w:rPr>
        <w:t xml:space="preserve"> onset of the carbon isotope excursion (CIE) is identified as the initial decrease in δ</w:t>
      </w:r>
      <w:r w:rsidRPr="00A876E4">
        <w:rPr>
          <w:rFonts w:ascii="Palatino Linotype" w:hAnsi="Palatino Linotype"/>
          <w:vertAlign w:val="superscript"/>
        </w:rPr>
        <w:t>13</w:t>
      </w:r>
      <w:r w:rsidRPr="00A876E4">
        <w:rPr>
          <w:rFonts w:ascii="Palatino Linotype" w:hAnsi="Palatino Linotype"/>
        </w:rPr>
        <w:t>C.</w:t>
      </w:r>
    </w:p>
    <w:p w:rsidR="0043088B" w:rsidRPr="00A876E4" w:rsidRDefault="0043088B" w:rsidP="004431F6">
      <w:pPr>
        <w:pStyle w:val="NoSpacing"/>
        <w:rPr>
          <w:rFonts w:ascii="Palatino Linotype" w:hAnsi="Palatino Linotype"/>
        </w:rPr>
      </w:pPr>
    </w:p>
    <w:p w:rsidR="0043088B" w:rsidRPr="00A876E4" w:rsidRDefault="0043088B" w:rsidP="00863B4D">
      <w:pPr>
        <w:pStyle w:val="NoSpacing"/>
        <w:rPr>
          <w:rFonts w:ascii="Palatino Linotype" w:hAnsi="Palatino Linotype"/>
        </w:rPr>
      </w:pPr>
      <w:r w:rsidRPr="00A876E4">
        <w:rPr>
          <w:rFonts w:ascii="Palatino Linotype" w:hAnsi="Palatino Linotype"/>
          <w:b/>
        </w:rPr>
        <w:t>Table S2</w:t>
      </w:r>
      <w:r w:rsidRPr="00A876E4">
        <w:rPr>
          <w:rFonts w:ascii="Palatino Linotype" w:hAnsi="Palatino Linotype"/>
        </w:rPr>
        <w:t xml:space="preserve">. Sites 689 and 690 planktonic foraminifera B/Ca. </w:t>
      </w:r>
    </w:p>
    <w:p w:rsidR="0043088B" w:rsidRPr="00A876E4" w:rsidRDefault="0043088B" w:rsidP="00D9768E">
      <w:pPr>
        <w:pStyle w:val="NoSpacing"/>
        <w:rPr>
          <w:rFonts w:ascii="Palatino Linotype" w:hAnsi="Palatino Linotype"/>
        </w:rPr>
      </w:pPr>
      <w:proofErr w:type="spellStart"/>
      <w:r w:rsidRPr="00A876E4">
        <w:rPr>
          <w:rFonts w:ascii="Palatino Linotype" w:hAnsi="Palatino Linotype"/>
          <w:vertAlign w:val="superscript"/>
        </w:rPr>
        <w:t>a</w:t>
      </w:r>
      <w:proofErr w:type="spellEnd"/>
      <w:r w:rsidRPr="00A876E4">
        <w:rPr>
          <w:rFonts w:ascii="Palatino Linotype" w:hAnsi="Palatino Linotype"/>
          <w:vertAlign w:val="superscript"/>
        </w:rPr>
        <w:t xml:space="preserve"> </w:t>
      </w:r>
      <w:r w:rsidRPr="00A876E4">
        <w:rPr>
          <w:rFonts w:ascii="Palatino Linotype" w:hAnsi="Palatino Linotype"/>
        </w:rPr>
        <w:t xml:space="preserve">Average sample depth interval. </w:t>
      </w:r>
    </w:p>
    <w:p w:rsidR="0043088B" w:rsidRPr="00A876E4" w:rsidRDefault="0043088B" w:rsidP="00D9768E">
      <w:pPr>
        <w:pStyle w:val="NoSpacing"/>
        <w:rPr>
          <w:rFonts w:ascii="Palatino Linotype" w:hAnsi="Palatino Linotype"/>
        </w:rPr>
      </w:pPr>
      <w:proofErr w:type="gramStart"/>
      <w:r w:rsidRPr="00A876E4">
        <w:rPr>
          <w:rFonts w:ascii="Palatino Linotype" w:hAnsi="Palatino Linotype"/>
          <w:vertAlign w:val="superscript"/>
        </w:rPr>
        <w:t xml:space="preserve">b  </w:t>
      </w:r>
      <w:r w:rsidRPr="00A876E4">
        <w:rPr>
          <w:rFonts w:ascii="Palatino Linotype" w:hAnsi="Palatino Linotype"/>
        </w:rPr>
        <w:t>The</w:t>
      </w:r>
      <w:proofErr w:type="gramEnd"/>
      <w:r w:rsidRPr="00A876E4">
        <w:rPr>
          <w:rFonts w:ascii="Palatino Linotype" w:hAnsi="Palatino Linotype"/>
        </w:rPr>
        <w:t xml:space="preserve"> onset of the carbon isotope excursion (CIE) is identified as the initial decrease in δ</w:t>
      </w:r>
      <w:r w:rsidRPr="00A876E4">
        <w:rPr>
          <w:rFonts w:ascii="Palatino Linotype" w:hAnsi="Palatino Linotype"/>
          <w:vertAlign w:val="superscript"/>
        </w:rPr>
        <w:t>13</w:t>
      </w:r>
      <w:r w:rsidRPr="00A876E4">
        <w:rPr>
          <w:rFonts w:ascii="Palatino Linotype" w:hAnsi="Palatino Linotype"/>
        </w:rPr>
        <w:t>C.</w:t>
      </w:r>
    </w:p>
    <w:p w:rsidR="0043088B" w:rsidRPr="00A876E4" w:rsidRDefault="0043088B" w:rsidP="00D9768E">
      <w:pPr>
        <w:pStyle w:val="NoSpacing"/>
        <w:rPr>
          <w:rFonts w:ascii="Palatino Linotype" w:hAnsi="Palatino Linotype"/>
        </w:rPr>
      </w:pPr>
      <w:r w:rsidRPr="00A876E4">
        <w:rPr>
          <w:rFonts w:ascii="Palatino Linotype" w:hAnsi="Palatino Linotype"/>
          <w:vertAlign w:val="superscript"/>
        </w:rPr>
        <w:t>c</w:t>
      </w:r>
      <w:r w:rsidRPr="00A876E4">
        <w:rPr>
          <w:rFonts w:ascii="Palatino Linotype" w:hAnsi="Palatino Linotype"/>
        </w:rPr>
        <w:t xml:space="preserve"> Sample replicates for a depth interval.</w:t>
      </w:r>
    </w:p>
    <w:p w:rsidR="0043088B" w:rsidRPr="00A876E4" w:rsidRDefault="0043088B" w:rsidP="004163A6">
      <w:pPr>
        <w:rPr>
          <w:rFonts w:ascii="Palatino Linotype" w:hAnsi="Palatino Linotype"/>
          <w:b/>
        </w:rPr>
      </w:pPr>
    </w:p>
    <w:p w:rsidR="0043088B" w:rsidRPr="00BF5C2C" w:rsidRDefault="0043088B" w:rsidP="00BF5C2C">
      <w:pPr>
        <w:pStyle w:val="NoSpacing"/>
        <w:rPr>
          <w:rFonts w:ascii="Palatino Linotype" w:hAnsi="Palatino Linotype"/>
        </w:rPr>
      </w:pPr>
      <w:r w:rsidRPr="00BF5C2C">
        <w:rPr>
          <w:rFonts w:ascii="Palatino Linotype" w:hAnsi="Palatino Linotype"/>
          <w:b/>
        </w:rPr>
        <w:t>Table S3</w:t>
      </w:r>
      <w:r w:rsidRPr="00BF5C2C">
        <w:rPr>
          <w:rFonts w:ascii="Palatino Linotype" w:hAnsi="Palatino Linotype"/>
        </w:rPr>
        <w:t xml:space="preserve">. Sites Bass River and Millville </w:t>
      </w:r>
      <w:proofErr w:type="spellStart"/>
      <w:r w:rsidRPr="00BF5C2C">
        <w:rPr>
          <w:rFonts w:ascii="Palatino Linotype" w:hAnsi="Palatino Linotype"/>
          <w:i/>
        </w:rPr>
        <w:t>Subbotina</w:t>
      </w:r>
      <w:proofErr w:type="spellEnd"/>
      <w:r w:rsidRPr="00BF5C2C">
        <w:rPr>
          <w:rFonts w:ascii="Palatino Linotype" w:hAnsi="Palatino Linotype"/>
        </w:rPr>
        <w:t xml:space="preserve"> spp. boron isotope data. </w:t>
      </w:r>
    </w:p>
    <w:p w:rsidR="00B94E6C" w:rsidRPr="00BF5C2C" w:rsidRDefault="0043088B" w:rsidP="00BF5C2C">
      <w:pPr>
        <w:pStyle w:val="NoSpacing"/>
        <w:rPr>
          <w:rFonts w:ascii="Palatino Linotype" w:hAnsi="Palatino Linotype"/>
        </w:rPr>
      </w:pPr>
      <w:proofErr w:type="spellStart"/>
      <w:r w:rsidRPr="00BF5C2C">
        <w:rPr>
          <w:rFonts w:ascii="Palatino Linotype" w:hAnsi="Palatino Linotype"/>
          <w:vertAlign w:val="superscript"/>
        </w:rPr>
        <w:t>a</w:t>
      </w:r>
      <w:proofErr w:type="spellEnd"/>
      <w:r w:rsidRPr="00BF5C2C">
        <w:rPr>
          <w:rFonts w:ascii="Palatino Linotype" w:hAnsi="Palatino Linotype"/>
          <w:vertAlign w:val="superscript"/>
        </w:rPr>
        <w:t xml:space="preserve"> </w:t>
      </w:r>
      <w:r w:rsidRPr="00BF5C2C">
        <w:rPr>
          <w:rFonts w:ascii="Palatino Linotype" w:hAnsi="Palatino Linotype"/>
        </w:rPr>
        <w:t xml:space="preserve">Average sample depth interval. </w:t>
      </w:r>
    </w:p>
    <w:p w:rsidR="0043088B" w:rsidRPr="00BF5C2C" w:rsidRDefault="0043088B" w:rsidP="00B94E6C">
      <w:pPr>
        <w:pStyle w:val="NoSpacing"/>
        <w:rPr>
          <w:rFonts w:ascii="Palatino Linotype" w:hAnsi="Palatino Linotype"/>
        </w:rPr>
      </w:pPr>
      <w:proofErr w:type="gramStart"/>
      <w:r w:rsidRPr="00BF5C2C">
        <w:rPr>
          <w:rFonts w:ascii="Palatino Linotype" w:hAnsi="Palatino Linotype"/>
          <w:vertAlign w:val="superscript"/>
        </w:rPr>
        <w:t xml:space="preserve">b  </w:t>
      </w:r>
      <w:r w:rsidRPr="00BF5C2C">
        <w:rPr>
          <w:rFonts w:ascii="Palatino Linotype" w:hAnsi="Palatino Linotype"/>
        </w:rPr>
        <w:t>The</w:t>
      </w:r>
      <w:proofErr w:type="gramEnd"/>
      <w:r w:rsidRPr="00BF5C2C">
        <w:rPr>
          <w:rFonts w:ascii="Palatino Linotype" w:hAnsi="Palatino Linotype"/>
        </w:rPr>
        <w:t xml:space="preserve"> onset of the carbon isotope excursion (CIE) is identified as the initial decrease in δ</w:t>
      </w:r>
      <w:r w:rsidRPr="00BF5C2C">
        <w:rPr>
          <w:rFonts w:ascii="Palatino Linotype" w:hAnsi="Palatino Linotype"/>
          <w:vertAlign w:val="superscript"/>
        </w:rPr>
        <w:t>13</w:t>
      </w:r>
      <w:r w:rsidRPr="00BF5C2C">
        <w:rPr>
          <w:rFonts w:ascii="Palatino Linotype" w:hAnsi="Palatino Linotype"/>
        </w:rPr>
        <w:t>C.</w:t>
      </w:r>
    </w:p>
    <w:p w:rsidR="0043088B" w:rsidRPr="00A876E4" w:rsidRDefault="0043088B" w:rsidP="00E034EA">
      <w:pPr>
        <w:jc w:val="center"/>
        <w:rPr>
          <w:rFonts w:ascii="Palatino Linotype" w:hAnsi="Palatino Linotype"/>
        </w:rPr>
      </w:pPr>
    </w:p>
    <w:p w:rsidR="0043088B" w:rsidRPr="00A876E4" w:rsidRDefault="0043088B">
      <w:pPr>
        <w:rPr>
          <w:rFonts w:ascii="Palatino Linotype" w:hAnsi="Palatino Linotype"/>
        </w:rPr>
      </w:pPr>
      <w:r w:rsidRPr="00A876E4">
        <w:rPr>
          <w:rFonts w:ascii="Palatino Linotype" w:hAnsi="Palatino Linotype"/>
          <w:b/>
        </w:rPr>
        <w:t xml:space="preserve">Figure S1. </w:t>
      </w:r>
      <w:r w:rsidRPr="00A876E4">
        <w:rPr>
          <w:rFonts w:ascii="Palatino Linotype" w:hAnsi="Palatino Linotype"/>
        </w:rPr>
        <w:t>Calibration sensitivity test on boron isotope (δ</w:t>
      </w:r>
      <w:r w:rsidRPr="00A876E4">
        <w:rPr>
          <w:rFonts w:ascii="Palatino Linotype" w:hAnsi="Palatino Linotype"/>
          <w:vertAlign w:val="superscript"/>
        </w:rPr>
        <w:t>11</w:t>
      </w:r>
      <w:r w:rsidRPr="00A876E4">
        <w:rPr>
          <w:rFonts w:ascii="Palatino Linotype" w:hAnsi="Palatino Linotype"/>
        </w:rPr>
        <w:t xml:space="preserve">B) measurements for surface dweller </w:t>
      </w:r>
      <w:r w:rsidRPr="00A876E4">
        <w:rPr>
          <w:rFonts w:ascii="Palatino Linotype" w:hAnsi="Palatino Linotype"/>
          <w:i/>
        </w:rPr>
        <w:t xml:space="preserve">M. </w:t>
      </w:r>
      <w:proofErr w:type="spellStart"/>
      <w:r w:rsidRPr="00A876E4">
        <w:rPr>
          <w:rFonts w:ascii="Palatino Linotype" w:hAnsi="Palatino Linotype"/>
          <w:i/>
        </w:rPr>
        <w:t>velascoensis</w:t>
      </w:r>
      <w:proofErr w:type="spellEnd"/>
      <w:r w:rsidRPr="00A876E4">
        <w:rPr>
          <w:rFonts w:ascii="Palatino Linotype" w:hAnsi="Palatino Linotype"/>
          <w:i/>
        </w:rPr>
        <w:t xml:space="preserve"> </w:t>
      </w:r>
      <w:r w:rsidRPr="00A876E4">
        <w:rPr>
          <w:rFonts w:ascii="Palatino Linotype" w:hAnsi="Palatino Linotype"/>
        </w:rPr>
        <w:t xml:space="preserve">at Site 1209 </w:t>
      </w:r>
      <w:r w:rsidRPr="00A876E4">
        <w:rPr>
          <w:rFonts w:ascii="Palatino Linotype" w:hAnsi="Palatino Linotype"/>
          <w:noProof/>
        </w:rPr>
        <w:t>[10]</w:t>
      </w:r>
      <w:r>
        <w:rPr>
          <w:rFonts w:ascii="Palatino Linotype" w:hAnsi="Palatino Linotype"/>
        </w:rPr>
        <w:t xml:space="preserve"> (a)</w:t>
      </w:r>
      <w:r w:rsidRPr="00A876E4">
        <w:rPr>
          <w:rFonts w:ascii="Palatino Linotype" w:hAnsi="Palatino Linotype"/>
        </w:rPr>
        <w:t>. Site 1209 δ</w:t>
      </w:r>
      <w:r w:rsidRPr="00A876E4">
        <w:rPr>
          <w:rFonts w:ascii="Palatino Linotype" w:hAnsi="Palatino Linotype"/>
          <w:vertAlign w:val="superscript"/>
        </w:rPr>
        <w:t>11</w:t>
      </w:r>
      <w:r w:rsidRPr="00A876E4">
        <w:rPr>
          <w:rFonts w:ascii="Palatino Linotype" w:hAnsi="Palatino Linotype"/>
        </w:rPr>
        <w:t>B record was normalized to a pre-event ocean pH of 7.75 by adjusting the intercept of the assumed δ</w:t>
      </w:r>
      <w:r w:rsidRPr="00A876E4">
        <w:rPr>
          <w:rFonts w:ascii="Palatino Linotype" w:hAnsi="Palatino Linotype"/>
          <w:vertAlign w:val="superscript"/>
        </w:rPr>
        <w:t>11</w:t>
      </w:r>
      <w:r w:rsidRPr="00A876E4">
        <w:rPr>
          <w:rFonts w:ascii="Palatino Linotype" w:hAnsi="Palatino Linotype"/>
        </w:rPr>
        <w:t>B</w:t>
      </w:r>
      <w:r w:rsidRPr="00A876E4">
        <w:rPr>
          <w:rFonts w:ascii="Palatino Linotype" w:hAnsi="Palatino Linotype"/>
          <w:vertAlign w:val="subscript"/>
        </w:rPr>
        <w:t>foram</w:t>
      </w:r>
      <w:r w:rsidRPr="00A876E4">
        <w:rPr>
          <w:rFonts w:ascii="Palatino Linotype" w:eastAsiaTheme="minorEastAsia" w:hAnsi="Palatino Linotype"/>
        </w:rPr>
        <w:t xml:space="preserve"> to δ</w:t>
      </w:r>
      <w:r w:rsidRPr="00A876E4">
        <w:rPr>
          <w:rFonts w:ascii="Palatino Linotype" w:eastAsiaTheme="minorEastAsia" w:hAnsi="Palatino Linotype"/>
          <w:vertAlign w:val="superscript"/>
        </w:rPr>
        <w:t>11</w:t>
      </w:r>
      <w:r w:rsidRPr="00A876E4">
        <w:rPr>
          <w:rFonts w:ascii="Palatino Linotype" w:eastAsiaTheme="minorEastAsia" w:hAnsi="Palatino Linotype"/>
        </w:rPr>
        <w:t>B</w:t>
      </w:r>
      <m:oMath>
        <m:r>
          <m:rPr>
            <m:nor/>
          </m:rPr>
          <w:rPr>
            <w:rFonts w:ascii="Palatino Linotype" w:eastAsiaTheme="minorEastAsia" w:hAnsi="Palatino Linotype"/>
            <w:vertAlign w:val="subscript"/>
          </w:rPr>
          <m:t>B</m:t>
        </m:r>
        <m:sSubSup>
          <m:sSubSupPr>
            <m:ctrlPr>
              <w:rPr>
                <w:rFonts w:ascii="Cambria Math" w:eastAsiaTheme="minorEastAsia" w:hAnsi="Cambria Math"/>
                <w:vertAlign w:val="subscript"/>
              </w:rPr>
            </m:ctrlPr>
          </m:sSubSupPr>
          <m:e>
            <m:r>
              <m:rPr>
                <m:nor/>
              </m:rPr>
              <w:rPr>
                <w:rFonts w:ascii="Palatino Linotype" w:eastAsiaTheme="minorEastAsia" w:hAnsi="Palatino Linotype"/>
                <w:vertAlign w:val="subscript"/>
              </w:rPr>
              <m:t>(OH)</m:t>
            </m:r>
          </m:e>
          <m:sub>
            <m:r>
              <m:rPr>
                <m:nor/>
              </m:rPr>
              <w:rPr>
                <w:rFonts w:ascii="Palatino Linotype" w:eastAsiaTheme="minorEastAsia" w:hAnsi="Palatino Linotype"/>
                <w:vertAlign w:val="subscript"/>
              </w:rPr>
              <m:t>4</m:t>
            </m:r>
          </m:sub>
          <m:sup>
            <m:r>
              <m:rPr>
                <m:nor/>
              </m:rPr>
              <w:rPr>
                <w:rFonts w:ascii="Palatino Linotype" w:eastAsiaTheme="minorEastAsia" w:hAnsi="Palatino Linotype"/>
                <w:vertAlign w:val="subscript"/>
              </w:rPr>
              <m:t>-</m:t>
            </m:r>
          </m:sup>
        </m:sSubSup>
      </m:oMath>
      <w:r w:rsidRPr="00A876E4">
        <w:rPr>
          <w:rFonts w:ascii="Palatino Linotype" w:hAnsi="Palatino Linotype"/>
        </w:rPr>
        <w:t xml:space="preserve"> calibration following a similar approach to previous studies </w:t>
      </w:r>
      <w:r w:rsidRPr="00A876E4">
        <w:rPr>
          <w:rFonts w:ascii="Palatino Linotype" w:hAnsi="Palatino Linotype"/>
          <w:noProof/>
        </w:rPr>
        <w:t>[10, 11]</w:t>
      </w:r>
      <w:r>
        <w:rPr>
          <w:rFonts w:ascii="Palatino Linotype" w:hAnsi="Palatino Linotype"/>
        </w:rPr>
        <w:t xml:space="preserve"> (b-c)</w:t>
      </w:r>
      <w:r w:rsidRPr="00A876E4">
        <w:rPr>
          <w:rFonts w:ascii="Palatino Linotype" w:hAnsi="Palatino Linotype"/>
        </w:rPr>
        <w:t>. Ocean pH anomalies (</w:t>
      </w:r>
      <w:proofErr w:type="spellStart"/>
      <w:r w:rsidRPr="00A876E4">
        <w:rPr>
          <w:rFonts w:ascii="Palatino Linotype" w:hAnsi="Palatino Linotype"/>
        </w:rPr>
        <w:t>ΔpH</w:t>
      </w:r>
      <w:proofErr w:type="spellEnd"/>
      <w:r w:rsidRPr="00A876E4">
        <w:rPr>
          <w:rFonts w:ascii="Palatino Linotype" w:hAnsi="Palatino Linotype"/>
        </w:rPr>
        <w:t>) were estimated by computing a relative δ</w:t>
      </w:r>
      <w:r w:rsidRPr="00A876E4">
        <w:rPr>
          <w:rFonts w:ascii="Palatino Linotype" w:hAnsi="Palatino Linotype"/>
          <w:vertAlign w:val="superscript"/>
        </w:rPr>
        <w:t>11</w:t>
      </w:r>
      <w:r w:rsidRPr="00A876E4">
        <w:rPr>
          <w:rFonts w:ascii="Palatino Linotype" w:hAnsi="Palatino Linotype"/>
        </w:rPr>
        <w:t>B change compared to an average of pre-CIE values</w:t>
      </w:r>
      <w:r>
        <w:rPr>
          <w:rFonts w:ascii="Palatino Linotype" w:hAnsi="Palatino Linotype"/>
        </w:rPr>
        <w:t xml:space="preserve"> (c)</w:t>
      </w:r>
      <w:r w:rsidRPr="00A876E4">
        <w:rPr>
          <w:rFonts w:ascii="Palatino Linotype" w:hAnsi="Palatino Linotype"/>
        </w:rPr>
        <w:t>. A constant seawater δ</w:t>
      </w:r>
      <w:r w:rsidRPr="00A876E4">
        <w:rPr>
          <w:rFonts w:ascii="Palatino Linotype" w:hAnsi="Palatino Linotype"/>
          <w:vertAlign w:val="superscript"/>
        </w:rPr>
        <w:t>11</w:t>
      </w:r>
      <w:r w:rsidRPr="00A876E4">
        <w:rPr>
          <w:rFonts w:ascii="Palatino Linotype" w:hAnsi="Palatino Linotype"/>
        </w:rPr>
        <w:t>B value of 38.9</w:t>
      </w:r>
      <w:r w:rsidR="00EF52C6">
        <w:rPr>
          <w:rFonts w:ascii="Palatino Linotype" w:hAnsi="Palatino Linotype"/>
        </w:rPr>
        <w:t xml:space="preserve">± 0.4 </w:t>
      </w:r>
      <w:r w:rsidRPr="00A876E4">
        <w:rPr>
          <w:rFonts w:ascii="Palatino Linotype" w:hAnsi="Palatino Linotype"/>
        </w:rPr>
        <w:t xml:space="preserve">‰ was assumed for the entire duration of the PETM </w:t>
      </w:r>
      <w:r w:rsidRPr="00A876E4">
        <w:rPr>
          <w:rFonts w:ascii="Palatino Linotype" w:hAnsi="Palatino Linotype"/>
          <w:noProof/>
        </w:rPr>
        <w:t>[11]</w:t>
      </w:r>
      <w:r w:rsidRPr="00A876E4">
        <w:rPr>
          <w:rFonts w:ascii="Palatino Linotype" w:hAnsi="Palatino Linotype"/>
        </w:rPr>
        <w:t xml:space="preserve">. To estimate </w:t>
      </w:r>
      <w:proofErr w:type="spellStart"/>
      <w:r w:rsidRPr="00A876E4">
        <w:rPr>
          <w:rFonts w:ascii="Palatino Linotype" w:hAnsi="Palatino Linotype"/>
        </w:rPr>
        <w:t>ΔpH</w:t>
      </w:r>
      <w:proofErr w:type="spellEnd"/>
      <w:r w:rsidRPr="00A876E4">
        <w:rPr>
          <w:rFonts w:ascii="Palatino Linotype" w:hAnsi="Palatino Linotype"/>
        </w:rPr>
        <w:t xml:space="preserve">, we assume foraminifera incorporated </w:t>
      </w:r>
      <w:r w:rsidRPr="00A876E4">
        <w:rPr>
          <w:rFonts w:ascii="Palatino Linotype" w:eastAsiaTheme="minorEastAsia" w:hAnsi="Palatino Linotype"/>
        </w:rPr>
        <w:t>δ</w:t>
      </w:r>
      <w:r w:rsidRPr="00A876E4">
        <w:rPr>
          <w:rFonts w:ascii="Palatino Linotype" w:eastAsiaTheme="minorEastAsia" w:hAnsi="Palatino Linotype"/>
          <w:vertAlign w:val="superscript"/>
        </w:rPr>
        <w:t>11</w:t>
      </w:r>
      <w:r w:rsidRPr="00A876E4">
        <w:rPr>
          <w:rFonts w:ascii="Palatino Linotype" w:eastAsiaTheme="minorEastAsia" w:hAnsi="Palatino Linotype"/>
        </w:rPr>
        <w:t>B with a pH sensitivity equal to aqueous boron isotope fractionation</w:t>
      </w:r>
      <w:r w:rsidRPr="00A876E4">
        <w:rPr>
          <w:rFonts w:ascii="Palatino Linotype" w:hAnsi="Palatino Linotype"/>
        </w:rPr>
        <w:t xml:space="preserve"> (i.e. no vital effect (</w:t>
      </w:r>
      <w:r w:rsidRPr="00A876E4">
        <w:rPr>
          <w:rFonts w:ascii="Palatino Linotype" w:eastAsiaTheme="minorEastAsia" w:hAnsi="Palatino Linotype"/>
        </w:rPr>
        <w:t>δ</w:t>
      </w:r>
      <w:r w:rsidRPr="00A876E4">
        <w:rPr>
          <w:rFonts w:ascii="Palatino Linotype" w:eastAsiaTheme="minorEastAsia" w:hAnsi="Palatino Linotype"/>
          <w:vertAlign w:val="superscript"/>
        </w:rPr>
        <w:t>11</w:t>
      </w:r>
      <w:r w:rsidRPr="00A876E4">
        <w:rPr>
          <w:rFonts w:ascii="Palatino Linotype" w:eastAsiaTheme="minorEastAsia" w:hAnsi="Palatino Linotype"/>
        </w:rPr>
        <w:t>B</w:t>
      </w:r>
      <m:oMath>
        <m:r>
          <m:rPr>
            <m:nor/>
          </m:rPr>
          <w:rPr>
            <w:rFonts w:ascii="Palatino Linotype" w:eastAsiaTheme="minorEastAsia" w:hAnsi="Palatino Linotype"/>
            <w:vertAlign w:val="subscript"/>
          </w:rPr>
          <m:t>B</m:t>
        </m:r>
        <m:sSubSup>
          <m:sSubSupPr>
            <m:ctrlPr>
              <w:rPr>
                <w:rFonts w:ascii="Cambria Math" w:eastAsiaTheme="minorEastAsia" w:hAnsi="Cambria Math"/>
                <w:vertAlign w:val="subscript"/>
              </w:rPr>
            </m:ctrlPr>
          </m:sSubSupPr>
          <m:e>
            <m:r>
              <m:rPr>
                <m:nor/>
              </m:rPr>
              <w:rPr>
                <w:rFonts w:ascii="Palatino Linotype" w:eastAsiaTheme="minorEastAsia" w:hAnsi="Palatino Linotype"/>
                <w:vertAlign w:val="subscript"/>
              </w:rPr>
              <m:t>(OH)</m:t>
            </m:r>
          </m:e>
          <m:sub>
            <m:r>
              <m:rPr>
                <m:nor/>
              </m:rPr>
              <w:rPr>
                <w:rFonts w:ascii="Palatino Linotype" w:eastAsiaTheme="minorEastAsia" w:hAnsi="Palatino Linotype"/>
                <w:vertAlign w:val="subscript"/>
              </w:rPr>
              <m:t>4</m:t>
            </m:r>
          </m:sub>
          <m:sup>
            <m:r>
              <m:rPr>
                <m:nor/>
              </m:rPr>
              <w:rPr>
                <w:rFonts w:ascii="Palatino Linotype" w:eastAsiaTheme="minorEastAsia" w:hAnsi="Palatino Linotype"/>
                <w:vertAlign w:val="subscript"/>
              </w:rPr>
              <m:t>-</m:t>
            </m:r>
          </m:sup>
        </m:sSubSup>
      </m:oMath>
      <w:r w:rsidRPr="00A876E4">
        <w:rPr>
          <w:rFonts w:ascii="Palatino Linotype" w:eastAsiaTheme="minorEastAsia" w:hAnsi="Palatino Linotype"/>
          <w:vertAlign w:val="subscript"/>
        </w:rPr>
        <w:t xml:space="preserve"> </w:t>
      </w:r>
      <w:r w:rsidRPr="00A876E4">
        <w:rPr>
          <w:rFonts w:ascii="Palatino Linotype" w:eastAsiaTheme="minorEastAsia" w:hAnsi="Palatino Linotype"/>
        </w:rPr>
        <w:t xml:space="preserve">= </w:t>
      </w:r>
      <w:r w:rsidRPr="00A876E4">
        <w:rPr>
          <w:rFonts w:ascii="Palatino Linotype" w:hAnsi="Palatino Linotype"/>
        </w:rPr>
        <w:t>δ</w:t>
      </w:r>
      <w:r w:rsidRPr="00A876E4">
        <w:rPr>
          <w:rFonts w:ascii="Palatino Linotype" w:hAnsi="Palatino Linotype"/>
          <w:vertAlign w:val="superscript"/>
        </w:rPr>
        <w:t>11</w:t>
      </w:r>
      <w:r w:rsidRPr="00A876E4">
        <w:rPr>
          <w:rFonts w:ascii="Palatino Linotype" w:hAnsi="Palatino Linotype"/>
        </w:rPr>
        <w:t>B</w:t>
      </w:r>
      <w:r w:rsidRPr="00A876E4">
        <w:rPr>
          <w:rFonts w:ascii="Palatino Linotype" w:hAnsi="Palatino Linotype"/>
          <w:vertAlign w:val="subscript"/>
        </w:rPr>
        <w:t>calcite</w:t>
      </w:r>
      <w:r w:rsidRPr="00A876E4">
        <w:rPr>
          <w:rFonts w:ascii="Palatino Linotype" w:hAnsi="Palatino Linotype"/>
        </w:rPr>
        <w:t xml:space="preserve">) with a slope of 1.0). In addition, we apply modern surface dweller </w:t>
      </w:r>
      <w:r w:rsidRPr="00A876E4">
        <w:rPr>
          <w:rFonts w:ascii="Palatino Linotype" w:hAnsi="Palatino Linotype"/>
          <w:i/>
        </w:rPr>
        <w:t xml:space="preserve">T. </w:t>
      </w:r>
      <w:proofErr w:type="spellStart"/>
      <w:r w:rsidRPr="00A876E4">
        <w:rPr>
          <w:rFonts w:ascii="Palatino Linotype" w:hAnsi="Palatino Linotype"/>
          <w:i/>
        </w:rPr>
        <w:t>sacculifer</w:t>
      </w:r>
      <w:proofErr w:type="spellEnd"/>
      <w:r w:rsidRPr="00A876E4">
        <w:rPr>
          <w:rFonts w:ascii="Palatino Linotype" w:hAnsi="Palatino Linotype"/>
        </w:rPr>
        <w:t xml:space="preserve"> slope of 0.82 </w:t>
      </w:r>
      <w:r>
        <w:rPr>
          <w:rFonts w:ascii="Palatino Linotype" w:hAnsi="Palatino Linotype"/>
          <w:noProof/>
        </w:rPr>
        <w:t>[12, refit in 13]</w:t>
      </w:r>
      <w:r>
        <w:rPr>
          <w:rFonts w:ascii="Palatino Linotype" w:hAnsi="Palatino Linotype"/>
        </w:rPr>
        <w:t>.</w:t>
      </w:r>
      <w:r w:rsidRPr="00A876E4">
        <w:rPr>
          <w:rFonts w:ascii="Palatino Linotype" w:hAnsi="Palatino Linotype"/>
        </w:rPr>
        <w:t xml:space="preserve"> Age is denoted in kilo-years relative to the carbon isotope excursion (CIE). Error envelopes on ocean pH estimates include the analytical uncertainty of 2 </w:t>
      </w:r>
      <w:proofErr w:type="spellStart"/>
      <w:r w:rsidR="00EF52C6">
        <w:rPr>
          <w:rFonts w:ascii="Palatino Linotype" w:hAnsi="Palatino Linotype"/>
        </w:rPr>
        <w:t>s.e.</w:t>
      </w:r>
      <w:proofErr w:type="spellEnd"/>
      <w:r w:rsidRPr="00A876E4">
        <w:rPr>
          <w:rFonts w:ascii="Palatino Linotype" w:hAnsi="Palatino Linotype"/>
        </w:rPr>
        <w:t xml:space="preserve"> of repeat sample analyses, and conservative uncertainty estimates for temperature (±</w:t>
      </w:r>
      <w:r w:rsidR="00EF52C6">
        <w:rPr>
          <w:rFonts w:ascii="Palatino Linotype" w:hAnsi="Palatino Linotype"/>
        </w:rPr>
        <w:t xml:space="preserve"> </w:t>
      </w:r>
      <w:r w:rsidRPr="00A876E4">
        <w:rPr>
          <w:rFonts w:ascii="Palatino Linotype" w:hAnsi="Palatino Linotype"/>
        </w:rPr>
        <w:t>2 °C) and salinity (±</w:t>
      </w:r>
      <w:r w:rsidR="00EF52C6">
        <w:rPr>
          <w:rFonts w:ascii="Palatino Linotype" w:hAnsi="Palatino Linotype"/>
        </w:rPr>
        <w:t xml:space="preserve"> </w:t>
      </w:r>
      <w:r w:rsidRPr="00A876E4">
        <w:rPr>
          <w:rFonts w:ascii="Palatino Linotype" w:hAnsi="Palatino Linotype"/>
        </w:rPr>
        <w:t>2 units).</w:t>
      </w:r>
    </w:p>
    <w:p w:rsidR="0043088B" w:rsidRPr="00A876E4" w:rsidRDefault="0043088B">
      <w:pPr>
        <w:rPr>
          <w:rFonts w:ascii="Palatino Linotype" w:hAnsi="Palatino Linotype"/>
        </w:rPr>
      </w:pPr>
      <w:r w:rsidRPr="00A876E4">
        <w:rPr>
          <w:rFonts w:ascii="Palatino Linotype" w:hAnsi="Palatino Linotype"/>
          <w:b/>
        </w:rPr>
        <w:t>References</w:t>
      </w:r>
    </w:p>
    <w:p w:rsidR="0043088B" w:rsidRPr="007320D0" w:rsidRDefault="0043088B" w:rsidP="007320D0">
      <w:pPr>
        <w:pStyle w:val="EndNoteBibliography"/>
        <w:spacing w:after="0"/>
        <w:ind w:left="720" w:hanging="720"/>
      </w:pPr>
      <w:bookmarkStart w:id="1" w:name="_ENREF_1"/>
      <w:r w:rsidRPr="007320D0">
        <w:t>1.</w:t>
      </w:r>
      <w:r w:rsidRPr="007320D0">
        <w:tab/>
        <w:t xml:space="preserve">Stassen, P., E. Thomas, and R.P. Speijer, </w:t>
      </w:r>
      <w:r w:rsidRPr="007320D0">
        <w:rPr>
          <w:i/>
        </w:rPr>
        <w:t>Integrated stratigraphy of the Paleocene-Eocene thermal maximum in the New Jersey Coastal Plain: Toward understanding the effects of global warming in a shelf environment.</w:t>
      </w:r>
      <w:r w:rsidRPr="007320D0">
        <w:t xml:space="preserve"> Paleoceanography, 2012. </w:t>
      </w:r>
      <w:r w:rsidRPr="007320D0">
        <w:rPr>
          <w:b/>
        </w:rPr>
        <w:t>27</w:t>
      </w:r>
      <w:r w:rsidRPr="007320D0">
        <w:t>(4): p. PA4210.</w:t>
      </w:r>
      <w:bookmarkEnd w:id="1"/>
    </w:p>
    <w:p w:rsidR="0043088B" w:rsidRPr="007320D0" w:rsidRDefault="0043088B" w:rsidP="007320D0">
      <w:pPr>
        <w:pStyle w:val="EndNoteBibliography"/>
        <w:spacing w:after="0"/>
        <w:ind w:left="720" w:hanging="720"/>
      </w:pPr>
      <w:bookmarkStart w:id="2" w:name="_ENREF_2"/>
      <w:r w:rsidRPr="007320D0">
        <w:lastRenderedPageBreak/>
        <w:t>2.</w:t>
      </w:r>
      <w:r w:rsidRPr="007320D0">
        <w:tab/>
        <w:t xml:space="preserve">Gibson, T.G., L.M. Bybell, and J.P. Owens, </w:t>
      </w:r>
      <w:r w:rsidRPr="007320D0">
        <w:rPr>
          <w:i/>
        </w:rPr>
        <w:t>Latest Paleocene lithologic and biotic event sin neritic deposits of southwestern New Jersey.</w:t>
      </w:r>
      <w:r w:rsidRPr="007320D0">
        <w:t xml:space="preserve"> Paleoceanography, 1993. </w:t>
      </w:r>
      <w:r w:rsidRPr="007320D0">
        <w:rPr>
          <w:b/>
        </w:rPr>
        <w:t>8</w:t>
      </w:r>
      <w:r w:rsidRPr="007320D0">
        <w:t>(4): p. 495-514.</w:t>
      </w:r>
      <w:bookmarkEnd w:id="2"/>
    </w:p>
    <w:p w:rsidR="0043088B" w:rsidRPr="007320D0" w:rsidRDefault="0043088B" w:rsidP="007320D0">
      <w:pPr>
        <w:pStyle w:val="EndNoteBibliography"/>
        <w:spacing w:after="0"/>
        <w:ind w:left="720" w:hanging="720"/>
      </w:pPr>
      <w:bookmarkStart w:id="3" w:name="_ENREF_3"/>
      <w:r w:rsidRPr="007320D0">
        <w:t>3.</w:t>
      </w:r>
      <w:r w:rsidRPr="007320D0">
        <w:tab/>
        <w:t xml:space="preserve">John, C.M., et al., </w:t>
      </w:r>
      <w:r w:rsidRPr="007320D0">
        <w:rPr>
          <w:i/>
        </w:rPr>
        <w:t>Clay assemblage and oxygen isotopic constraints on the weathering response to the Paleocene-Eocene thermal maximum, east coast of North America.</w:t>
      </w:r>
      <w:r w:rsidRPr="007320D0">
        <w:t xml:space="preserve"> Geology, 2012. </w:t>
      </w:r>
      <w:r w:rsidRPr="007320D0">
        <w:rPr>
          <w:b/>
        </w:rPr>
        <w:t>40</w:t>
      </w:r>
      <w:r w:rsidRPr="007320D0">
        <w:t>(7): p. 591-594.</w:t>
      </w:r>
      <w:bookmarkEnd w:id="3"/>
    </w:p>
    <w:p w:rsidR="0043088B" w:rsidRPr="007320D0" w:rsidRDefault="0043088B" w:rsidP="007320D0">
      <w:pPr>
        <w:pStyle w:val="EndNoteBibliography"/>
        <w:spacing w:after="0"/>
        <w:ind w:left="720" w:hanging="720"/>
      </w:pPr>
      <w:bookmarkStart w:id="4" w:name="_ENREF_4"/>
      <w:r w:rsidRPr="007320D0">
        <w:t>4.</w:t>
      </w:r>
      <w:r w:rsidRPr="007320D0">
        <w:tab/>
        <w:t xml:space="preserve">Makarova, M., et al., </w:t>
      </w:r>
      <w:r w:rsidRPr="007320D0">
        <w:rPr>
          <w:i/>
        </w:rPr>
        <w:t>Hydrographic and ecologic implications of foraminiferal stable isotopic response across the U.S. mid-Atlantic continental shelf during the Paleocene-Eocene Thermal Maximum.</w:t>
      </w:r>
      <w:r w:rsidRPr="007320D0">
        <w:t xml:space="preserve"> Paleoceanography, 2017.</w:t>
      </w:r>
      <w:bookmarkEnd w:id="4"/>
    </w:p>
    <w:p w:rsidR="0043088B" w:rsidRPr="007320D0" w:rsidRDefault="0043088B" w:rsidP="007320D0">
      <w:pPr>
        <w:pStyle w:val="EndNoteBibliography"/>
        <w:spacing w:after="0"/>
        <w:ind w:left="720" w:hanging="720"/>
      </w:pPr>
      <w:bookmarkStart w:id="5" w:name="_ENREF_5"/>
      <w:r w:rsidRPr="007320D0">
        <w:t>5.</w:t>
      </w:r>
      <w:r w:rsidRPr="007320D0">
        <w:tab/>
        <w:t xml:space="preserve">Kennett, J.P. and L.D. Stott, </w:t>
      </w:r>
      <w:r w:rsidRPr="007320D0">
        <w:rPr>
          <w:i/>
        </w:rPr>
        <w:t>Abrupt deep-sea warming, paleoceanographic changes and benthic extinctions at the end of the Paleocene.</w:t>
      </w:r>
      <w:r w:rsidRPr="007320D0">
        <w:t xml:space="preserve"> Nature, 1991. </w:t>
      </w:r>
      <w:r w:rsidRPr="007320D0">
        <w:rPr>
          <w:b/>
        </w:rPr>
        <w:t>353</w:t>
      </w:r>
      <w:r w:rsidRPr="007320D0">
        <w:t>: p. 225-229.</w:t>
      </w:r>
      <w:bookmarkEnd w:id="5"/>
    </w:p>
    <w:p w:rsidR="0043088B" w:rsidRPr="007320D0" w:rsidRDefault="0043088B" w:rsidP="007320D0">
      <w:pPr>
        <w:pStyle w:val="EndNoteBibliography"/>
        <w:spacing w:after="0"/>
        <w:ind w:left="720" w:hanging="720"/>
      </w:pPr>
      <w:bookmarkStart w:id="6" w:name="_ENREF_6"/>
      <w:r w:rsidRPr="007320D0">
        <w:t>6.</w:t>
      </w:r>
      <w:r w:rsidRPr="007320D0">
        <w:tab/>
        <w:t xml:space="preserve">Röhl, U., et al., </w:t>
      </w:r>
      <w:r w:rsidRPr="007320D0">
        <w:rPr>
          <w:i/>
        </w:rPr>
        <w:t>On the duration of the Paleocene-Eocene Thermal Maximum (PETM).</w:t>
      </w:r>
      <w:r w:rsidRPr="007320D0">
        <w:t xml:space="preserve"> Geochem. Geophys. Geosys., 2007. </w:t>
      </w:r>
      <w:r w:rsidRPr="007320D0">
        <w:rPr>
          <w:b/>
        </w:rPr>
        <w:t>8</w:t>
      </w:r>
      <w:r w:rsidRPr="007320D0">
        <w:t>(Q12002).</w:t>
      </w:r>
      <w:bookmarkEnd w:id="6"/>
    </w:p>
    <w:p w:rsidR="0043088B" w:rsidRPr="007320D0" w:rsidRDefault="0043088B" w:rsidP="007320D0">
      <w:pPr>
        <w:pStyle w:val="EndNoteBibliography"/>
        <w:spacing w:after="0"/>
        <w:ind w:left="720" w:hanging="720"/>
      </w:pPr>
      <w:bookmarkStart w:id="7" w:name="_ENREF_7"/>
      <w:r w:rsidRPr="007320D0">
        <w:t>7.</w:t>
      </w:r>
      <w:r w:rsidRPr="007320D0">
        <w:tab/>
        <w:t xml:space="preserve">Bains, S., R.M. Corfield, and R.D. Norris, </w:t>
      </w:r>
      <w:r w:rsidRPr="007320D0">
        <w:rPr>
          <w:i/>
        </w:rPr>
        <w:t>Mechanisms of Climate Warming at the End of the Paleocene.</w:t>
      </w:r>
      <w:r w:rsidRPr="007320D0">
        <w:t xml:space="preserve"> Science, 1999. </w:t>
      </w:r>
      <w:r w:rsidRPr="007320D0">
        <w:rPr>
          <w:b/>
        </w:rPr>
        <w:t>285</w:t>
      </w:r>
      <w:r w:rsidRPr="007320D0">
        <w:t>(5428): p. 724-727.</w:t>
      </w:r>
      <w:bookmarkEnd w:id="7"/>
    </w:p>
    <w:p w:rsidR="0043088B" w:rsidRPr="007320D0" w:rsidRDefault="0043088B" w:rsidP="007320D0">
      <w:pPr>
        <w:pStyle w:val="EndNoteBibliography"/>
        <w:spacing w:after="0"/>
        <w:ind w:left="720" w:hanging="720"/>
      </w:pPr>
      <w:bookmarkStart w:id="8" w:name="_ENREF_8"/>
      <w:r w:rsidRPr="007320D0">
        <w:t>8.</w:t>
      </w:r>
      <w:r w:rsidRPr="007320D0">
        <w:tab/>
        <w:t xml:space="preserve">Zachos, J.C., et al., </w:t>
      </w:r>
      <w:r w:rsidRPr="007320D0">
        <w:rPr>
          <w:i/>
        </w:rPr>
        <w:t>Rapid Acidification of the Ocean During the Paleocene-Eocene Thermal Maximum.</w:t>
      </w:r>
      <w:r w:rsidRPr="007320D0">
        <w:t xml:space="preserve"> Science, 2005. </w:t>
      </w:r>
      <w:r w:rsidRPr="007320D0">
        <w:rPr>
          <w:b/>
        </w:rPr>
        <w:t>308</w:t>
      </w:r>
      <w:r w:rsidRPr="007320D0">
        <w:t>(5728): p. 1611-1615.</w:t>
      </w:r>
      <w:bookmarkEnd w:id="8"/>
    </w:p>
    <w:p w:rsidR="0043088B" w:rsidRPr="007320D0" w:rsidRDefault="0043088B" w:rsidP="007320D0">
      <w:pPr>
        <w:pStyle w:val="EndNoteBibliography"/>
        <w:spacing w:after="0"/>
        <w:ind w:left="720" w:hanging="720"/>
      </w:pPr>
      <w:bookmarkStart w:id="9" w:name="_ENREF_9"/>
      <w:r w:rsidRPr="007320D0">
        <w:t>9.</w:t>
      </w:r>
      <w:r w:rsidRPr="007320D0">
        <w:tab/>
        <w:t xml:space="preserve">Kelly, D.C., T.M.J. Nielsen, and S.A. Schellenberg, </w:t>
      </w:r>
      <w:r w:rsidRPr="007320D0">
        <w:rPr>
          <w:i/>
        </w:rPr>
        <w:t>Carbonate saturation dynamics during the Paleocene–Eocene thermal maximum: Bathyal constraints from ODP sites 689 and 690 in the Weddell Sea (South Atlantic).</w:t>
      </w:r>
      <w:r w:rsidRPr="007320D0">
        <w:t xml:space="preserve"> Marine Geology, 2012. </w:t>
      </w:r>
      <w:r w:rsidRPr="007320D0">
        <w:rPr>
          <w:b/>
        </w:rPr>
        <w:t>303–306</w:t>
      </w:r>
      <w:r w:rsidRPr="007320D0">
        <w:t>: p. 75-86.</w:t>
      </w:r>
      <w:bookmarkEnd w:id="9"/>
    </w:p>
    <w:p w:rsidR="0043088B" w:rsidRPr="007320D0" w:rsidRDefault="0043088B" w:rsidP="007320D0">
      <w:pPr>
        <w:pStyle w:val="EndNoteBibliography"/>
        <w:spacing w:after="0"/>
        <w:ind w:left="720" w:hanging="720"/>
      </w:pPr>
      <w:bookmarkStart w:id="10" w:name="_ENREF_10"/>
      <w:r w:rsidRPr="007320D0">
        <w:t>10.</w:t>
      </w:r>
      <w:r w:rsidRPr="007320D0">
        <w:tab/>
        <w:t xml:space="preserve">Penman, D.E., et al., </w:t>
      </w:r>
      <w:r w:rsidRPr="007320D0">
        <w:rPr>
          <w:i/>
        </w:rPr>
        <w:t>Rapid and sustained surface ocean acidification during the Paleocene-Eocene Thermal Maximum.</w:t>
      </w:r>
      <w:r w:rsidRPr="007320D0">
        <w:t xml:space="preserve"> Paleoceanography, 2014. </w:t>
      </w:r>
      <w:r w:rsidRPr="007320D0">
        <w:rPr>
          <w:b/>
        </w:rPr>
        <w:t>29</w:t>
      </w:r>
      <w:r w:rsidRPr="007320D0">
        <w:t>(5): p. 2014PA002621.</w:t>
      </w:r>
      <w:bookmarkEnd w:id="10"/>
    </w:p>
    <w:p w:rsidR="0043088B" w:rsidRPr="007320D0" w:rsidRDefault="0043088B" w:rsidP="007320D0">
      <w:pPr>
        <w:pStyle w:val="EndNoteBibliography"/>
        <w:spacing w:after="0"/>
        <w:ind w:left="720" w:hanging="720"/>
      </w:pPr>
      <w:bookmarkStart w:id="11" w:name="_ENREF_11"/>
      <w:r w:rsidRPr="007320D0">
        <w:t>11.</w:t>
      </w:r>
      <w:r w:rsidRPr="007320D0">
        <w:tab/>
        <w:t xml:space="preserve">Gutjahr, M., et al., </w:t>
      </w:r>
      <w:r w:rsidRPr="007320D0">
        <w:rPr>
          <w:i/>
        </w:rPr>
        <w:t>Very large release of mostly volcanic carbon during the Palaeocene–Eocene Thermal Maximum.</w:t>
      </w:r>
      <w:r w:rsidRPr="007320D0">
        <w:t xml:space="preserve"> Nature, 2017. </w:t>
      </w:r>
      <w:r w:rsidRPr="007320D0">
        <w:rPr>
          <w:b/>
        </w:rPr>
        <w:t>548</w:t>
      </w:r>
      <w:r w:rsidRPr="007320D0">
        <w:t>: p. 573.</w:t>
      </w:r>
      <w:bookmarkEnd w:id="11"/>
    </w:p>
    <w:p w:rsidR="0043088B" w:rsidRPr="007320D0" w:rsidRDefault="0043088B" w:rsidP="007320D0">
      <w:pPr>
        <w:pStyle w:val="EndNoteBibliography"/>
        <w:spacing w:after="0"/>
        <w:ind w:left="720" w:hanging="720"/>
      </w:pPr>
      <w:bookmarkStart w:id="12" w:name="_ENREF_12"/>
      <w:r w:rsidRPr="007320D0">
        <w:t>12.</w:t>
      </w:r>
      <w:r w:rsidRPr="007320D0">
        <w:tab/>
        <w:t xml:space="preserve">Sanyal, A., et al., </w:t>
      </w:r>
      <w:r w:rsidRPr="007320D0">
        <w:rPr>
          <w:i/>
        </w:rPr>
        <w:t>Empirical relationship between pH and the boron isotopic composition of Globigerinoides sacculifer: Implications for the boron isotope paleo-pH proxy.</w:t>
      </w:r>
      <w:r w:rsidRPr="007320D0">
        <w:t xml:space="preserve"> Paleoceanography, 2001. </w:t>
      </w:r>
      <w:r w:rsidRPr="007320D0">
        <w:rPr>
          <w:b/>
        </w:rPr>
        <w:t>16</w:t>
      </w:r>
      <w:r w:rsidRPr="007320D0">
        <w:t>: p. 515-519.</w:t>
      </w:r>
      <w:bookmarkEnd w:id="12"/>
    </w:p>
    <w:p w:rsidR="0043088B" w:rsidRPr="007320D0" w:rsidRDefault="0043088B" w:rsidP="007320D0">
      <w:pPr>
        <w:pStyle w:val="EndNoteBibliography"/>
        <w:ind w:left="720" w:hanging="720"/>
      </w:pPr>
      <w:bookmarkStart w:id="13" w:name="_ENREF_13"/>
      <w:r w:rsidRPr="007320D0">
        <w:t>13.</w:t>
      </w:r>
      <w:r w:rsidRPr="007320D0">
        <w:tab/>
        <w:t xml:space="preserve">Henehan, M.J., et al., </w:t>
      </w:r>
      <w:r w:rsidRPr="007320D0">
        <w:rPr>
          <w:i/>
        </w:rPr>
        <w:t>A new boron isotope-pH calibration for Orbulina universa, with implications for understanding and accounting for ‘vital effects’.</w:t>
      </w:r>
      <w:r w:rsidRPr="007320D0">
        <w:t xml:space="preserve"> Earth and Planetary Science Letters, 2016. </w:t>
      </w:r>
      <w:r w:rsidRPr="007320D0">
        <w:rPr>
          <w:b/>
        </w:rPr>
        <w:t>454</w:t>
      </w:r>
      <w:r w:rsidRPr="007320D0">
        <w:t>: p. 282-292.</w:t>
      </w:r>
      <w:bookmarkEnd w:id="13"/>
    </w:p>
    <w:p w:rsidR="0043088B" w:rsidRPr="00A876E4" w:rsidRDefault="0043088B">
      <w:pPr>
        <w:rPr>
          <w:rFonts w:ascii="Palatino Linotype" w:hAnsi="Palatino Linotype"/>
          <w:sz w:val="20"/>
          <w:szCs w:val="20"/>
        </w:rPr>
      </w:pPr>
    </w:p>
    <w:p w:rsidR="00052822" w:rsidRDefault="00052822"/>
    <w:sectPr w:rsidR="00052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Roman">
    <w:altName w:val="Book Antiqua"/>
    <w:charset w:val="00"/>
    <w:family w:val="auto"/>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3088B"/>
    <w:rsid w:val="0000363E"/>
    <w:rsid w:val="00004773"/>
    <w:rsid w:val="00005A32"/>
    <w:rsid w:val="00010877"/>
    <w:rsid w:val="000108C4"/>
    <w:rsid w:val="00011575"/>
    <w:rsid w:val="00013FB4"/>
    <w:rsid w:val="00022736"/>
    <w:rsid w:val="00026928"/>
    <w:rsid w:val="000334DA"/>
    <w:rsid w:val="00033B42"/>
    <w:rsid w:val="0003733A"/>
    <w:rsid w:val="00042607"/>
    <w:rsid w:val="00044730"/>
    <w:rsid w:val="00044E60"/>
    <w:rsid w:val="00052822"/>
    <w:rsid w:val="00064167"/>
    <w:rsid w:val="000803DA"/>
    <w:rsid w:val="000807C6"/>
    <w:rsid w:val="00085A5C"/>
    <w:rsid w:val="00095BC4"/>
    <w:rsid w:val="000A608E"/>
    <w:rsid w:val="000B07D8"/>
    <w:rsid w:val="000B43B4"/>
    <w:rsid w:val="000B67B5"/>
    <w:rsid w:val="000E0D33"/>
    <w:rsid w:val="000E784C"/>
    <w:rsid w:val="000F3054"/>
    <w:rsid w:val="000F517D"/>
    <w:rsid w:val="00100168"/>
    <w:rsid w:val="00104F0F"/>
    <w:rsid w:val="00104FCD"/>
    <w:rsid w:val="00105AFA"/>
    <w:rsid w:val="00122C9C"/>
    <w:rsid w:val="00123DED"/>
    <w:rsid w:val="00124683"/>
    <w:rsid w:val="00126A02"/>
    <w:rsid w:val="001407EE"/>
    <w:rsid w:val="001544DB"/>
    <w:rsid w:val="00171B3E"/>
    <w:rsid w:val="00182C6E"/>
    <w:rsid w:val="001A0B51"/>
    <w:rsid w:val="001A6C27"/>
    <w:rsid w:val="001B1F1F"/>
    <w:rsid w:val="001C3B0D"/>
    <w:rsid w:val="001C6F54"/>
    <w:rsid w:val="001D37A3"/>
    <w:rsid w:val="001E763D"/>
    <w:rsid w:val="0020690E"/>
    <w:rsid w:val="00211601"/>
    <w:rsid w:val="00213DBE"/>
    <w:rsid w:val="00221A8F"/>
    <w:rsid w:val="002349F3"/>
    <w:rsid w:val="0024331E"/>
    <w:rsid w:val="002524CB"/>
    <w:rsid w:val="0025423A"/>
    <w:rsid w:val="00255FF1"/>
    <w:rsid w:val="002573A3"/>
    <w:rsid w:val="00262C0C"/>
    <w:rsid w:val="0026439B"/>
    <w:rsid w:val="002654A0"/>
    <w:rsid w:val="002710B6"/>
    <w:rsid w:val="00273E69"/>
    <w:rsid w:val="0028119D"/>
    <w:rsid w:val="002826A0"/>
    <w:rsid w:val="00287114"/>
    <w:rsid w:val="00291752"/>
    <w:rsid w:val="00292FCE"/>
    <w:rsid w:val="002A3259"/>
    <w:rsid w:val="002A7EAF"/>
    <w:rsid w:val="002C50BC"/>
    <w:rsid w:val="002C50F4"/>
    <w:rsid w:val="002F4DB3"/>
    <w:rsid w:val="002F5EE4"/>
    <w:rsid w:val="002F78EF"/>
    <w:rsid w:val="00300382"/>
    <w:rsid w:val="00301F9D"/>
    <w:rsid w:val="003054DC"/>
    <w:rsid w:val="00316ED3"/>
    <w:rsid w:val="00331029"/>
    <w:rsid w:val="00333F32"/>
    <w:rsid w:val="00340AE9"/>
    <w:rsid w:val="00342440"/>
    <w:rsid w:val="00343867"/>
    <w:rsid w:val="00361093"/>
    <w:rsid w:val="00361532"/>
    <w:rsid w:val="00362349"/>
    <w:rsid w:val="00366AB0"/>
    <w:rsid w:val="00372328"/>
    <w:rsid w:val="00374ABD"/>
    <w:rsid w:val="00380A5C"/>
    <w:rsid w:val="00387870"/>
    <w:rsid w:val="003A7D58"/>
    <w:rsid w:val="003B0815"/>
    <w:rsid w:val="003C3EF2"/>
    <w:rsid w:val="003D2C04"/>
    <w:rsid w:val="003D7C46"/>
    <w:rsid w:val="003F3A05"/>
    <w:rsid w:val="00404EB8"/>
    <w:rsid w:val="004233AF"/>
    <w:rsid w:val="0043088B"/>
    <w:rsid w:val="00434A7D"/>
    <w:rsid w:val="00437A78"/>
    <w:rsid w:val="00440110"/>
    <w:rsid w:val="004455F2"/>
    <w:rsid w:val="00446D68"/>
    <w:rsid w:val="00456F55"/>
    <w:rsid w:val="004575B0"/>
    <w:rsid w:val="00461A48"/>
    <w:rsid w:val="00463C4F"/>
    <w:rsid w:val="004661EA"/>
    <w:rsid w:val="004702F6"/>
    <w:rsid w:val="00477280"/>
    <w:rsid w:val="00477C8E"/>
    <w:rsid w:val="00484AA4"/>
    <w:rsid w:val="00484BE5"/>
    <w:rsid w:val="004A49E5"/>
    <w:rsid w:val="004B1529"/>
    <w:rsid w:val="004D0B3F"/>
    <w:rsid w:val="004D4B28"/>
    <w:rsid w:val="004D6D73"/>
    <w:rsid w:val="004E3D93"/>
    <w:rsid w:val="005056C0"/>
    <w:rsid w:val="00507399"/>
    <w:rsid w:val="00516296"/>
    <w:rsid w:val="00525225"/>
    <w:rsid w:val="005309B2"/>
    <w:rsid w:val="00547CAC"/>
    <w:rsid w:val="005504E5"/>
    <w:rsid w:val="00563880"/>
    <w:rsid w:val="00565F14"/>
    <w:rsid w:val="00565F3D"/>
    <w:rsid w:val="0057190A"/>
    <w:rsid w:val="00571C18"/>
    <w:rsid w:val="005748DE"/>
    <w:rsid w:val="0058392A"/>
    <w:rsid w:val="005857E8"/>
    <w:rsid w:val="00591D71"/>
    <w:rsid w:val="0059465A"/>
    <w:rsid w:val="005A1377"/>
    <w:rsid w:val="005A219E"/>
    <w:rsid w:val="005A6BAA"/>
    <w:rsid w:val="005B10C9"/>
    <w:rsid w:val="005B514F"/>
    <w:rsid w:val="005B7548"/>
    <w:rsid w:val="005C5348"/>
    <w:rsid w:val="005C534B"/>
    <w:rsid w:val="005D1BF7"/>
    <w:rsid w:val="005D5690"/>
    <w:rsid w:val="005F6629"/>
    <w:rsid w:val="005F6B3E"/>
    <w:rsid w:val="00601532"/>
    <w:rsid w:val="00606FFE"/>
    <w:rsid w:val="00615933"/>
    <w:rsid w:val="00626EA0"/>
    <w:rsid w:val="00644F6D"/>
    <w:rsid w:val="006459CC"/>
    <w:rsid w:val="00660F6F"/>
    <w:rsid w:val="00665C77"/>
    <w:rsid w:val="006708D2"/>
    <w:rsid w:val="00672677"/>
    <w:rsid w:val="00675D06"/>
    <w:rsid w:val="006828CE"/>
    <w:rsid w:val="00685B92"/>
    <w:rsid w:val="00696477"/>
    <w:rsid w:val="006976A9"/>
    <w:rsid w:val="006A04C5"/>
    <w:rsid w:val="006A2A8B"/>
    <w:rsid w:val="006A4AAA"/>
    <w:rsid w:val="006A5B44"/>
    <w:rsid w:val="006C2CF1"/>
    <w:rsid w:val="006E1C4C"/>
    <w:rsid w:val="006E2D21"/>
    <w:rsid w:val="006E6B2D"/>
    <w:rsid w:val="0073737F"/>
    <w:rsid w:val="00746771"/>
    <w:rsid w:val="00746B24"/>
    <w:rsid w:val="0075391A"/>
    <w:rsid w:val="00760A7C"/>
    <w:rsid w:val="007640BB"/>
    <w:rsid w:val="00766724"/>
    <w:rsid w:val="00774AD1"/>
    <w:rsid w:val="00774EE0"/>
    <w:rsid w:val="00783F1E"/>
    <w:rsid w:val="007939CF"/>
    <w:rsid w:val="00793B59"/>
    <w:rsid w:val="007A069E"/>
    <w:rsid w:val="007A4A7C"/>
    <w:rsid w:val="007A7304"/>
    <w:rsid w:val="007B0C7A"/>
    <w:rsid w:val="007B1BFE"/>
    <w:rsid w:val="007B45F8"/>
    <w:rsid w:val="007C429B"/>
    <w:rsid w:val="007C4F8B"/>
    <w:rsid w:val="007C63AE"/>
    <w:rsid w:val="007E273F"/>
    <w:rsid w:val="007E426F"/>
    <w:rsid w:val="007E6CB3"/>
    <w:rsid w:val="007E6DFA"/>
    <w:rsid w:val="007F4147"/>
    <w:rsid w:val="00806E4B"/>
    <w:rsid w:val="00823312"/>
    <w:rsid w:val="00823EF1"/>
    <w:rsid w:val="00824AED"/>
    <w:rsid w:val="00837C7D"/>
    <w:rsid w:val="00852D06"/>
    <w:rsid w:val="00856D0E"/>
    <w:rsid w:val="00864B60"/>
    <w:rsid w:val="00871B2B"/>
    <w:rsid w:val="00874680"/>
    <w:rsid w:val="008766F6"/>
    <w:rsid w:val="00883100"/>
    <w:rsid w:val="00885DF4"/>
    <w:rsid w:val="0088748F"/>
    <w:rsid w:val="008A3EC0"/>
    <w:rsid w:val="008C2752"/>
    <w:rsid w:val="008C5BA3"/>
    <w:rsid w:val="008D3922"/>
    <w:rsid w:val="008D7B12"/>
    <w:rsid w:val="008E52DD"/>
    <w:rsid w:val="008E5C10"/>
    <w:rsid w:val="008E6654"/>
    <w:rsid w:val="00900513"/>
    <w:rsid w:val="0090395B"/>
    <w:rsid w:val="00914243"/>
    <w:rsid w:val="00914E78"/>
    <w:rsid w:val="00923930"/>
    <w:rsid w:val="00934B0F"/>
    <w:rsid w:val="00934C80"/>
    <w:rsid w:val="00935210"/>
    <w:rsid w:val="009452BF"/>
    <w:rsid w:val="00946DEA"/>
    <w:rsid w:val="00960575"/>
    <w:rsid w:val="00971CCE"/>
    <w:rsid w:val="00972B73"/>
    <w:rsid w:val="00990C38"/>
    <w:rsid w:val="0099435B"/>
    <w:rsid w:val="00996E6D"/>
    <w:rsid w:val="009A1146"/>
    <w:rsid w:val="009A2682"/>
    <w:rsid w:val="009A7BDB"/>
    <w:rsid w:val="009B1340"/>
    <w:rsid w:val="009B47CD"/>
    <w:rsid w:val="009B57BB"/>
    <w:rsid w:val="009C1BA8"/>
    <w:rsid w:val="009D16E1"/>
    <w:rsid w:val="009D1D9C"/>
    <w:rsid w:val="009D391F"/>
    <w:rsid w:val="009E0A0B"/>
    <w:rsid w:val="009E424C"/>
    <w:rsid w:val="009E46D4"/>
    <w:rsid w:val="009E59B9"/>
    <w:rsid w:val="009E704F"/>
    <w:rsid w:val="009F3D31"/>
    <w:rsid w:val="00A10AEB"/>
    <w:rsid w:val="00A11A6D"/>
    <w:rsid w:val="00A14164"/>
    <w:rsid w:val="00A21A41"/>
    <w:rsid w:val="00A308AA"/>
    <w:rsid w:val="00A31119"/>
    <w:rsid w:val="00A41095"/>
    <w:rsid w:val="00A44901"/>
    <w:rsid w:val="00A654D5"/>
    <w:rsid w:val="00A679C2"/>
    <w:rsid w:val="00A820EF"/>
    <w:rsid w:val="00A9361B"/>
    <w:rsid w:val="00AA2ABF"/>
    <w:rsid w:val="00AA326D"/>
    <w:rsid w:val="00AA3F35"/>
    <w:rsid w:val="00AB2051"/>
    <w:rsid w:val="00AB4077"/>
    <w:rsid w:val="00AC08EA"/>
    <w:rsid w:val="00AC42D5"/>
    <w:rsid w:val="00AC4358"/>
    <w:rsid w:val="00AC489E"/>
    <w:rsid w:val="00AD595B"/>
    <w:rsid w:val="00AF3253"/>
    <w:rsid w:val="00AF6B53"/>
    <w:rsid w:val="00B07D23"/>
    <w:rsid w:val="00B11EB4"/>
    <w:rsid w:val="00B1213E"/>
    <w:rsid w:val="00B12697"/>
    <w:rsid w:val="00B1451F"/>
    <w:rsid w:val="00B14DFA"/>
    <w:rsid w:val="00B158C9"/>
    <w:rsid w:val="00B17794"/>
    <w:rsid w:val="00B23535"/>
    <w:rsid w:val="00B263C5"/>
    <w:rsid w:val="00B3425A"/>
    <w:rsid w:val="00B3696B"/>
    <w:rsid w:val="00B4000E"/>
    <w:rsid w:val="00B44DD4"/>
    <w:rsid w:val="00B50891"/>
    <w:rsid w:val="00B655DE"/>
    <w:rsid w:val="00B65DD8"/>
    <w:rsid w:val="00B73CD1"/>
    <w:rsid w:val="00B86FAB"/>
    <w:rsid w:val="00B87FBE"/>
    <w:rsid w:val="00B91448"/>
    <w:rsid w:val="00B94E6C"/>
    <w:rsid w:val="00B95A39"/>
    <w:rsid w:val="00B96C2A"/>
    <w:rsid w:val="00BA7577"/>
    <w:rsid w:val="00BB173A"/>
    <w:rsid w:val="00BB50B3"/>
    <w:rsid w:val="00BB5CC6"/>
    <w:rsid w:val="00BD5D31"/>
    <w:rsid w:val="00BD7AC7"/>
    <w:rsid w:val="00BE1751"/>
    <w:rsid w:val="00BE4616"/>
    <w:rsid w:val="00BF0EAF"/>
    <w:rsid w:val="00BF19AE"/>
    <w:rsid w:val="00BF5C2C"/>
    <w:rsid w:val="00C043C4"/>
    <w:rsid w:val="00C06DD6"/>
    <w:rsid w:val="00C104FD"/>
    <w:rsid w:val="00C1391C"/>
    <w:rsid w:val="00C13D14"/>
    <w:rsid w:val="00C17140"/>
    <w:rsid w:val="00C23246"/>
    <w:rsid w:val="00C329D1"/>
    <w:rsid w:val="00C342A6"/>
    <w:rsid w:val="00C43EFC"/>
    <w:rsid w:val="00C50FE2"/>
    <w:rsid w:val="00C56F73"/>
    <w:rsid w:val="00C5795F"/>
    <w:rsid w:val="00C708AB"/>
    <w:rsid w:val="00C7159A"/>
    <w:rsid w:val="00C764ED"/>
    <w:rsid w:val="00C76C9C"/>
    <w:rsid w:val="00C81073"/>
    <w:rsid w:val="00C8231D"/>
    <w:rsid w:val="00C831CC"/>
    <w:rsid w:val="00C87673"/>
    <w:rsid w:val="00C87DD7"/>
    <w:rsid w:val="00C92C08"/>
    <w:rsid w:val="00C93D7D"/>
    <w:rsid w:val="00C96C72"/>
    <w:rsid w:val="00CA7C90"/>
    <w:rsid w:val="00CB07EC"/>
    <w:rsid w:val="00CC173D"/>
    <w:rsid w:val="00CD706A"/>
    <w:rsid w:val="00CE3F8C"/>
    <w:rsid w:val="00CF29C9"/>
    <w:rsid w:val="00D0620F"/>
    <w:rsid w:val="00D142FA"/>
    <w:rsid w:val="00D16468"/>
    <w:rsid w:val="00D22A8F"/>
    <w:rsid w:val="00D24F9D"/>
    <w:rsid w:val="00D31516"/>
    <w:rsid w:val="00D414EB"/>
    <w:rsid w:val="00D44B3C"/>
    <w:rsid w:val="00D46A48"/>
    <w:rsid w:val="00D645CA"/>
    <w:rsid w:val="00D76F65"/>
    <w:rsid w:val="00D86819"/>
    <w:rsid w:val="00D86E71"/>
    <w:rsid w:val="00DA571C"/>
    <w:rsid w:val="00DC1688"/>
    <w:rsid w:val="00DC1689"/>
    <w:rsid w:val="00DC2F76"/>
    <w:rsid w:val="00DC3C6A"/>
    <w:rsid w:val="00DC4EBA"/>
    <w:rsid w:val="00DC65E1"/>
    <w:rsid w:val="00DC7513"/>
    <w:rsid w:val="00DD02D0"/>
    <w:rsid w:val="00DD0C08"/>
    <w:rsid w:val="00DD1A83"/>
    <w:rsid w:val="00DD367B"/>
    <w:rsid w:val="00DF2A03"/>
    <w:rsid w:val="00DF3A7C"/>
    <w:rsid w:val="00E0052A"/>
    <w:rsid w:val="00E044A2"/>
    <w:rsid w:val="00E04ADB"/>
    <w:rsid w:val="00E07813"/>
    <w:rsid w:val="00E07F84"/>
    <w:rsid w:val="00E1343C"/>
    <w:rsid w:val="00E17CBB"/>
    <w:rsid w:val="00E221F6"/>
    <w:rsid w:val="00E2275B"/>
    <w:rsid w:val="00E25783"/>
    <w:rsid w:val="00E31372"/>
    <w:rsid w:val="00E365B5"/>
    <w:rsid w:val="00E36A5B"/>
    <w:rsid w:val="00E4165A"/>
    <w:rsid w:val="00E54385"/>
    <w:rsid w:val="00E649CB"/>
    <w:rsid w:val="00E71804"/>
    <w:rsid w:val="00E73F81"/>
    <w:rsid w:val="00E76C82"/>
    <w:rsid w:val="00E83CB2"/>
    <w:rsid w:val="00E83DB3"/>
    <w:rsid w:val="00E87278"/>
    <w:rsid w:val="00E87F8A"/>
    <w:rsid w:val="00E95CA4"/>
    <w:rsid w:val="00E96752"/>
    <w:rsid w:val="00EA5992"/>
    <w:rsid w:val="00EA7247"/>
    <w:rsid w:val="00ED04D2"/>
    <w:rsid w:val="00EE3308"/>
    <w:rsid w:val="00EF0EFC"/>
    <w:rsid w:val="00EF4EFA"/>
    <w:rsid w:val="00EF52C6"/>
    <w:rsid w:val="00F10BE2"/>
    <w:rsid w:val="00F15F33"/>
    <w:rsid w:val="00F17D32"/>
    <w:rsid w:val="00F32CEF"/>
    <w:rsid w:val="00F42F0D"/>
    <w:rsid w:val="00F45690"/>
    <w:rsid w:val="00F45FBB"/>
    <w:rsid w:val="00F5112D"/>
    <w:rsid w:val="00F802E1"/>
    <w:rsid w:val="00F844D1"/>
    <w:rsid w:val="00F84C69"/>
    <w:rsid w:val="00F974DE"/>
    <w:rsid w:val="00FA200C"/>
    <w:rsid w:val="00FA518D"/>
    <w:rsid w:val="00FC73A4"/>
    <w:rsid w:val="00FC7750"/>
    <w:rsid w:val="00FF1276"/>
    <w:rsid w:val="00FF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F6AE"/>
  <w15:chartTrackingRefBased/>
  <w15:docId w15:val="{F4891A66-0FD3-4497-A7AA-8A4C3750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8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88B"/>
    <w:rPr>
      <w:rFonts w:ascii="Times New Roman" w:hAnsi="Times New Roman" w:cs="Times New Roman"/>
      <w:sz w:val="24"/>
      <w:szCs w:val="24"/>
    </w:rPr>
  </w:style>
  <w:style w:type="paragraph" w:styleId="Footer">
    <w:name w:val="footer"/>
    <w:basedOn w:val="Normal"/>
    <w:link w:val="FooterChar"/>
    <w:uiPriority w:val="99"/>
    <w:unhideWhenUsed/>
    <w:rsid w:val="0043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88B"/>
    <w:rPr>
      <w:rFonts w:ascii="Times New Roman" w:hAnsi="Times New Roman" w:cs="Times New Roman"/>
      <w:sz w:val="24"/>
      <w:szCs w:val="24"/>
    </w:rPr>
  </w:style>
  <w:style w:type="character" w:styleId="Hyperlink">
    <w:name w:val="Hyperlink"/>
    <w:basedOn w:val="DefaultParagraphFont"/>
    <w:uiPriority w:val="99"/>
    <w:unhideWhenUsed/>
    <w:rsid w:val="0043088B"/>
    <w:rPr>
      <w:color w:val="0563C1" w:themeColor="hyperlink"/>
      <w:u w:val="single"/>
    </w:rPr>
  </w:style>
  <w:style w:type="paragraph" w:styleId="NoSpacing">
    <w:name w:val="No Spacing"/>
    <w:uiPriority w:val="1"/>
    <w:qFormat/>
    <w:rsid w:val="0043088B"/>
    <w:pPr>
      <w:spacing w:after="0" w:line="240" w:lineRule="auto"/>
    </w:pPr>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43088B"/>
    <w:pPr>
      <w:spacing w:after="0"/>
      <w:jc w:val="center"/>
    </w:pPr>
    <w:rPr>
      <w:noProof/>
    </w:rPr>
  </w:style>
  <w:style w:type="character" w:customStyle="1" w:styleId="EndNoteBibliographyTitleChar">
    <w:name w:val="EndNote Bibliography Title Char"/>
    <w:basedOn w:val="DefaultParagraphFont"/>
    <w:link w:val="EndNoteBibliographyTitle"/>
    <w:rsid w:val="0043088B"/>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43088B"/>
    <w:pPr>
      <w:spacing w:line="240" w:lineRule="auto"/>
    </w:pPr>
    <w:rPr>
      <w:noProof/>
    </w:rPr>
  </w:style>
  <w:style w:type="character" w:customStyle="1" w:styleId="EndNoteBibliographyChar">
    <w:name w:val="EndNote Bibliography Char"/>
    <w:basedOn w:val="DefaultParagraphFont"/>
    <w:link w:val="EndNoteBibliography"/>
    <w:rsid w:val="0043088B"/>
    <w:rPr>
      <w:rFonts w:ascii="Times New Roman" w:hAnsi="Times New Roman" w:cs="Times New Roman"/>
      <w:noProof/>
      <w:sz w:val="24"/>
      <w:szCs w:val="24"/>
    </w:rPr>
  </w:style>
  <w:style w:type="paragraph" w:styleId="Title">
    <w:name w:val="Title"/>
    <w:basedOn w:val="Normal"/>
    <w:next w:val="Normal"/>
    <w:link w:val="TitleChar"/>
    <w:qFormat/>
    <w:rsid w:val="0043088B"/>
    <w:pPr>
      <w:spacing w:before="180" w:after="120" w:line="240" w:lineRule="auto"/>
      <w:contextualSpacing/>
      <w:jc w:val="center"/>
    </w:pPr>
    <w:rPr>
      <w:rFonts w:ascii="Arial Black" w:eastAsia="Times New Roman" w:hAnsi="Arial Black"/>
      <w:noProof/>
      <w:position w:val="8"/>
      <w:sz w:val="32"/>
      <w:szCs w:val="32"/>
      <w:lang w:val="en-GB" w:eastAsia="en-GB"/>
    </w:rPr>
  </w:style>
  <w:style w:type="character" w:customStyle="1" w:styleId="TitleChar">
    <w:name w:val="Title Char"/>
    <w:basedOn w:val="DefaultParagraphFont"/>
    <w:link w:val="Title"/>
    <w:rsid w:val="0043088B"/>
    <w:rPr>
      <w:rFonts w:ascii="Arial Black" w:eastAsia="Times New Roman" w:hAnsi="Arial Black" w:cs="Times New Roman"/>
      <w:noProof/>
      <w:position w:val="8"/>
      <w:sz w:val="32"/>
      <w:szCs w:val="32"/>
      <w:lang w:val="en-GB" w:eastAsia="en-GB"/>
    </w:rPr>
  </w:style>
  <w:style w:type="paragraph" w:customStyle="1" w:styleId="02Authornames">
    <w:name w:val="02 Author names"/>
    <w:autoRedefine/>
    <w:rsid w:val="0043088B"/>
    <w:pPr>
      <w:spacing w:after="120" w:line="240" w:lineRule="auto"/>
      <w:ind w:right="568"/>
    </w:pPr>
    <w:rPr>
      <w:rFonts w:ascii="Palatino-Roman" w:eastAsia="Times New Roman" w:hAnsi="Palatino-Roman" w:cs="Times New Roman"/>
      <w:noProo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Babila</dc:creator>
  <cp:keywords/>
  <dc:description/>
  <cp:lastModifiedBy>Tali Babila</cp:lastModifiedBy>
  <cp:revision>5</cp:revision>
  <dcterms:created xsi:type="dcterms:W3CDTF">2018-07-27T12:03:00Z</dcterms:created>
  <dcterms:modified xsi:type="dcterms:W3CDTF">2018-08-03T11:54:00Z</dcterms:modified>
</cp:coreProperties>
</file>