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A020" w14:textId="77777777" w:rsidR="00C16703" w:rsidRDefault="00C16703" w:rsidP="00C16703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t>Appendix S2.</w:t>
      </w:r>
      <w:r>
        <w:rPr>
          <w:rFonts w:ascii="Times New Roman" w:hAnsi="Times New Roman" w:cs="Times New Roman"/>
          <w:lang w:val="en-GB"/>
        </w:rPr>
        <w:t xml:space="preserve"> Summary of methods for lipid content hierarchical Bayesian state-space model from Schick </w:t>
      </w:r>
      <w:r w:rsidRPr="00C16703">
        <w:rPr>
          <w:rFonts w:ascii="Times New Roman" w:hAnsi="Times New Roman" w:cs="Times New Roman"/>
          <w:i/>
          <w:lang w:val="en-GB"/>
        </w:rPr>
        <w:t>et al</w:t>
      </w:r>
      <w:r>
        <w:rPr>
          <w:rFonts w:ascii="Times New Roman" w:hAnsi="Times New Roman" w:cs="Times New Roman"/>
          <w:lang w:val="en-GB"/>
        </w:rPr>
        <w:t>. 2013.</w:t>
      </w:r>
    </w:p>
    <w:p w14:paraId="7866E3F5" w14:textId="77777777" w:rsidR="00C16703" w:rsidRDefault="00C16703" w:rsidP="00C16703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</w:p>
    <w:p w14:paraId="3F47BCA6" w14:textId="77777777" w:rsidR="001177E5" w:rsidRDefault="00C16703" w:rsidP="00C167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 link resource selection to energy gain in individual seals, we used published estimates of absolute lipid </w:t>
      </w:r>
      <w:r w:rsidR="00FB0981">
        <w:rPr>
          <w:rFonts w:ascii="Times New Roman" w:eastAsia="Times New Roman" w:hAnsi="Times New Roman" w:cs="Times New Roman"/>
          <w:color w:val="222222"/>
          <w:shd w:val="clear" w:color="auto" w:fill="FFFFFF"/>
        </w:rPr>
        <w:t>content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 29 individual seals </w:t>
      </w:r>
      <w:r w:rsidR="001C423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from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Schick </w:t>
      </w:r>
      <w:r w:rsidRPr="00C16703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C4237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2013)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. Daily lipid stores and derived infor</w:t>
      </w:r>
      <w:r w:rsidR="002F52D4">
        <w:rPr>
          <w:rFonts w:ascii="Times New Roman" w:eastAsia="Times New Roman" w:hAnsi="Times New Roman" w:cs="Times New Roman"/>
          <w:color w:val="222222"/>
          <w:shd w:val="clear" w:color="auto" w:fill="FFFFFF"/>
        </w:rPr>
        <w:t>mation on daily lipid gain/loss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were estimated from a hierarchical Bayesian state-space model that links observations of daily drift rate (m/s) to lipid </w:t>
      </w:r>
      <w:r w:rsidR="0024057F">
        <w:rPr>
          <w:rFonts w:ascii="Times New Roman" w:eastAsia="Times New Roman" w:hAnsi="Times New Roman" w:cs="Times New Roman"/>
          <w:color w:val="222222"/>
          <w:shd w:val="clear" w:color="auto" w:fill="FFFFFF"/>
        </w:rPr>
        <w:t>content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(kg). </w:t>
      </w:r>
      <w:proofErr w:type="gramStart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starting and ending values of absolute lipid and lean tissue status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measured in the field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before and after each migration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(Schick </w:t>
      </w:r>
      <w:r w:rsidRPr="00C16703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2013)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proofErr w:type="gramEnd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While </w:t>
      </w:r>
      <w:r w:rsidR="0012159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Schick </w:t>
      </w:r>
      <w:r w:rsidR="00121594" w:rsidRPr="00121594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="0012159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(2013)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assumed these beginning and ending measurements were observed without error, an observation model </w:t>
      </w:r>
      <w:r w:rsidR="00276C61">
        <w:rPr>
          <w:rFonts w:ascii="Times New Roman" w:eastAsia="Times New Roman" w:hAnsi="Times New Roman" w:cs="Times New Roman"/>
          <w:color w:val="222222"/>
          <w:shd w:val="clear" w:color="auto" w:fill="FFFFFF"/>
        </w:rPr>
        <w:t>linking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daily drift rate to lipid status</w:t>
      </w:r>
      <w:r w:rsidR="002F52D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was built to account for uncertainty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 The observation model assumed a normal distribution around median daily drift rate, where the mean of the Normal parameterized as a linear predictor of the form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α</m:t>
        </m:r>
      </m:oMath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  <w:vertAlign w:val="subscript"/>
        </w:rPr>
        <w:t>1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+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α</m:t>
        </m:r>
      </m:oMath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  <w:vertAlign w:val="subscript"/>
        </w:rPr>
        <w:t xml:space="preserve">2 </w:t>
      </w:r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*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L</m:t>
        </m:r>
        <m:r>
          <w:rPr>
            <w:rFonts w:ascii="Cambria Math" w:eastAsia="Times New Roman" w:hAnsi="Cambria Math" w:cs="Times New Roman"/>
            <w:color w:val="222222"/>
            <w:shd w:val="clear" w:color="auto" w:fill="FFFFFF"/>
            <w:vertAlign w:val="subscript"/>
          </w:rPr>
          <m:t>i</m:t>
        </m:r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,t/</m:t>
        </m:r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R</m:t>
        </m:r>
        <m:r>
          <w:rPr>
            <w:rFonts w:ascii="Cambria Math" w:eastAsia="Times New Roman" w:hAnsi="Cambria Math" w:cs="Times New Roman"/>
            <w:color w:val="222222"/>
            <w:shd w:val="clear" w:color="auto" w:fill="FFFFFF"/>
            <w:vertAlign w:val="subscript"/>
          </w:rPr>
          <m:t>i</m:t>
        </m:r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,t</m:t>
        </m:r>
      </m:oMath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). The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α</m:t>
        </m:r>
      </m:oMath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  <w:vertAlign w:val="subscript"/>
        </w:rPr>
        <w:t>1</w:t>
      </w:r>
      <w:r w:rsidR="00020015"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term is the intercept, and the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α</m:t>
        </m:r>
      </m:oMath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  <w:vertAlign w:val="subscript"/>
        </w:rPr>
        <w:t xml:space="preserve">2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term describes the slope of the relationship between the ratio of lipid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(L_i</m:t>
        </m:r>
        <w:proofErr w:type="gramStart"/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,t</m:t>
        </m:r>
        <w:proofErr w:type="gramEnd"/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)</m:t>
        </m:r>
      </m:oMath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lea</w:t>
      </w:r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n tissue </w:t>
      </w:r>
      <m:oMath>
        <m:r>
          <w:rPr>
            <w:rFonts w:ascii="Cambria Math" w:eastAsia="Times New Roman" w:hAnsi="Cambria Math" w:cs="Times New Roman"/>
            <w:color w:val="222222"/>
            <w:shd w:val="clear" w:color="auto" w:fill="FFFFFF"/>
          </w:rPr>
          <m:t>(R_i,t)</m:t>
        </m:r>
      </m:oMath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Schick </w:t>
      </w:r>
      <w:r w:rsidR="00020015" w:rsidRPr="002620AC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="0002001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(2013)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assumed a linear form for the relationship between lipids and lean tissue. They did not estimate lean tissue gain; instead they used a functional form whereby the gain in lean tissue occurs during the first third of the trip, and remains constant for the remaining two thirds (Figure 3 in Schick </w:t>
      </w:r>
      <w:r w:rsidRPr="00C16703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2013</w:t>
      </w:r>
      <w:r w:rsidR="00AF2CA8">
        <w:rPr>
          <w:rFonts w:ascii="Times New Roman" w:eastAsia="Times New Roman" w:hAnsi="Times New Roman" w:cs="Times New Roman"/>
          <w:color w:val="222222"/>
          <w:shd w:val="clear" w:color="auto" w:fill="FFFFFF"/>
        </w:rPr>
        <w:t>; reprinted below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). </w:t>
      </w:r>
      <w:r w:rsidR="001177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Schick </w:t>
      </w:r>
      <w:r w:rsidR="001177E5" w:rsidRPr="002620AC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="001177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(2013)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divided the observation variance of the normal distribution by the observed numbers of drift dives per day. This leads to a form where the observation variance decreases with an increasing number of recorded drift dives. This accounts for the uncertainty in the observation component of the model. </w:t>
      </w:r>
    </w:p>
    <w:p w14:paraId="7C44E245" w14:textId="77777777" w:rsidR="001177E5" w:rsidRDefault="001177E5" w:rsidP="00C167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70F8BA0" w14:textId="1C704C1A" w:rsidR="00C16703" w:rsidRDefault="00C16703" w:rsidP="00C16703">
      <w:pPr>
        <w:spacing w:line="480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Lipid gain was also represented with a Normal distribution. For the variance parameter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222222"/>
                <w:shd w:val="clear" w:color="auto" w:fill="FFFFFF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222222"/>
                <w:shd w:val="clear" w:color="auto" w:fill="FFFFFF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color w:val="222222"/>
                <w:shd w:val="clear" w:color="auto" w:fill="FFFFFF"/>
              </w:rPr>
              <m:t>2</m:t>
            </m:r>
          </m:sup>
        </m:sSup>
      </m:oMath>
      <w:r w:rsidR="002E730B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E730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Schick </w:t>
      </w:r>
      <w:r w:rsidR="002E730B" w:rsidRPr="002620AC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="002E730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(2013) 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included an informative Inverse Gamma prior. The prior was </w:t>
      </w:r>
      <w:proofErr w:type="spellStart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ce</w:t>
      </w:r>
      <w:r w:rsidR="007D406B">
        <w:rPr>
          <w:rFonts w:ascii="Times New Roman" w:eastAsia="Times New Roman" w:hAnsi="Times New Roman" w:cs="Times New Roman"/>
          <w:color w:val="222222"/>
          <w:shd w:val="clear" w:color="auto" w:fill="FFFFFF"/>
        </w:rPr>
        <w:t>ntr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ed</w:t>
      </w:r>
      <w:proofErr w:type="spellEnd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around</w:t>
      </w:r>
      <w:proofErr w:type="gramEnd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 value of 4kg, which meant that after accounting for the growth in lipids, there can be at most 2kg/day of unexplained error in the lipids estimate. We do not have at-sea estimates for this; the prior was informed by on-land </w:t>
      </w:r>
      <w:proofErr w:type="gramStart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>measurements  of</w:t>
      </w:r>
      <w:proofErr w:type="gramEnd"/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lipid gain and loss</w:t>
      </w:r>
      <w:r w:rsidR="007D406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D406B"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(Crocker </w:t>
      </w:r>
      <w:r w:rsidR="007D406B" w:rsidRPr="007D406B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et al.</w:t>
      </w:r>
      <w:r w:rsidR="007D406B"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2001)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With this structure, Schick et al. </w:t>
      </w:r>
      <w:r w:rsidR="007D406B">
        <w:rPr>
          <w:rFonts w:ascii="Times New Roman" w:eastAsia="Times New Roman" w:hAnsi="Times New Roman" w:cs="Times New Roman"/>
          <w:color w:val="222222"/>
          <w:shd w:val="clear" w:color="auto" w:fill="FFFFFF"/>
        </w:rPr>
        <w:t>(2013)</w:t>
      </w:r>
      <w:r w:rsidRPr="00C167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account for the uncertainty in the observations - individual drift rates, as well as the uncertainty in the process - daily lipid status in the animal. For further specifics of the model and the algorithms used in the Gibbs sampler, see Schick et al. </w:t>
      </w:r>
      <w:r w:rsidR="00D35D54">
        <w:rPr>
          <w:rFonts w:ascii="Times New Roman" w:eastAsia="Times New Roman" w:hAnsi="Times New Roman" w:cs="Times New Roman"/>
          <w:color w:val="222222"/>
          <w:shd w:val="clear" w:color="auto" w:fill="FFFFFF"/>
        </w:rPr>
        <w:t>(2013).</w:t>
      </w:r>
    </w:p>
    <w:p w14:paraId="1B243CDE" w14:textId="77777777" w:rsidR="00A93FE9" w:rsidRPr="00A93FE9" w:rsidRDefault="00A93FE9" w:rsidP="00C16703">
      <w:pPr>
        <w:spacing w:line="480" w:lineRule="auto"/>
        <w:rPr>
          <w:rFonts w:ascii="Times New Roman" w:eastAsia="Times New Roman" w:hAnsi="Times New Roman" w:cs="Times New Roman"/>
        </w:rPr>
      </w:pPr>
    </w:p>
    <w:p w14:paraId="0A04B7B5" w14:textId="6DA9AE5B" w:rsidR="00A93FE9" w:rsidRDefault="00A93FE9" w:rsidP="00467CBC">
      <w:pPr>
        <w:spacing w:line="480" w:lineRule="auto"/>
        <w:ind w:left="630"/>
        <w:contextualSpacing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BEA204" wp14:editId="080AABDF">
            <wp:extent cx="4366901" cy="355243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901" cy="355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0CC8E6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4" w:eastAsia="Times New Roman" w:hAnsi="ff4" w:cs="Times New Roman"/>
          <w:color w:val="231F20"/>
          <w:sz w:val="96"/>
          <w:szCs w:val="96"/>
        </w:rPr>
      </w:pPr>
      <w:r w:rsidRPr="00FF49D3">
        <w:rPr>
          <w:rFonts w:ascii="ff4" w:eastAsia="Times New Roman" w:hAnsi="ff4" w:cs="Times New Roman"/>
          <w:color w:val="231F20"/>
          <w:sz w:val="96"/>
          <w:szCs w:val="96"/>
        </w:rPr>
        <w:t xml:space="preserve">Fig. 3.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>Six different assumptions we tested for the fixed fat-free tissue time series between the known initial measurement and the known</w:t>
      </w:r>
    </w:p>
    <w:p w14:paraId="4E83FA11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final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measurement. Top panel assumes a constantly linear increase between measurements. Second panel has a higher rate of increase in</w:t>
      </w:r>
    </w:p>
    <w:p w14:paraId="381D4833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the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final third of the trip to account for the weight of the pup. Third panel has higher initial gain, then slower, then higher again. Fourth</w:t>
      </w:r>
    </w:p>
    <w:p w14:paraId="5667A731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panel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is higher, flat and higher but unlike panels 2 and 3, does not account for the weight of the pup. Panel 5 is like panel 4, but does</w:t>
      </w:r>
    </w:p>
    <w:p w14:paraId="6185D465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account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for the weight of the pup. Finally, panel 6 </w:t>
      </w:r>
      <w:r w:rsidRPr="00FF49D3">
        <w:rPr>
          <w:rFonts w:ascii="ff7" w:eastAsia="Times New Roman" w:hAnsi="ff7" w:cs="Times New Roman"/>
          <w:color w:val="231F20"/>
          <w:sz w:val="96"/>
          <w:szCs w:val="96"/>
        </w:rPr>
        <w:t xml:space="preserve">–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the assumption we used following model selection </w:t>
      </w:r>
      <w:r w:rsidRPr="00FF49D3">
        <w:rPr>
          <w:rFonts w:ascii="ff7" w:eastAsia="Times New Roman" w:hAnsi="ff7" w:cs="Times New Roman"/>
          <w:color w:val="231F20"/>
          <w:sz w:val="96"/>
          <w:szCs w:val="96"/>
        </w:rPr>
        <w:t xml:space="preserve">–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>assumes all gain in the first</w:t>
      </w:r>
    </w:p>
    <w:p w14:paraId="66321F79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third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of the trip.</w:t>
      </w:r>
    </w:p>
    <w:p w14:paraId="322B19C3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4" w:eastAsia="Times New Roman" w:hAnsi="ff4" w:cs="Times New Roman"/>
          <w:color w:val="231F20"/>
          <w:sz w:val="96"/>
          <w:szCs w:val="96"/>
        </w:rPr>
      </w:pPr>
      <w:r w:rsidRPr="00FF49D3">
        <w:rPr>
          <w:rFonts w:ascii="ff4" w:eastAsia="Times New Roman" w:hAnsi="ff4" w:cs="Times New Roman"/>
          <w:color w:val="231F20"/>
          <w:sz w:val="96"/>
          <w:szCs w:val="96"/>
        </w:rPr>
        <w:t xml:space="preserve">Fig. 3.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>Six different assumptions we tested for the fixed fat-free tissue time series between the known initial measurement and the known</w:t>
      </w:r>
    </w:p>
    <w:p w14:paraId="3A881EC3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final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measurement. Top panel assumes a constantly linear increase between measurements. Second panel has a higher rate of increase in</w:t>
      </w:r>
    </w:p>
    <w:p w14:paraId="1310FF47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the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final third of the trip to account for the weight of the pup. Third panel has higher initial gain, then slower, then higher again. Fourth</w:t>
      </w:r>
    </w:p>
    <w:p w14:paraId="0E1DF181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panel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is higher, flat and higher but unlike panels 2 and 3, does not account for the weight of the pup. Panel 5 is like panel 4, but does</w:t>
      </w:r>
    </w:p>
    <w:p w14:paraId="2DC6A9DF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account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for the weight of the pup. Finally, panel 6 </w:t>
      </w:r>
      <w:r w:rsidRPr="00FF49D3">
        <w:rPr>
          <w:rFonts w:ascii="ff7" w:eastAsia="Times New Roman" w:hAnsi="ff7" w:cs="Times New Roman"/>
          <w:color w:val="231F20"/>
          <w:sz w:val="96"/>
          <w:szCs w:val="96"/>
        </w:rPr>
        <w:t xml:space="preserve">–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the assumption we used following model selection </w:t>
      </w:r>
      <w:r w:rsidRPr="00FF49D3">
        <w:rPr>
          <w:rFonts w:ascii="ff7" w:eastAsia="Times New Roman" w:hAnsi="ff7" w:cs="Times New Roman"/>
          <w:color w:val="231F20"/>
          <w:sz w:val="96"/>
          <w:szCs w:val="96"/>
        </w:rPr>
        <w:t xml:space="preserve">– </w:t>
      </w:r>
      <w:r w:rsidRPr="00FF49D3">
        <w:rPr>
          <w:rFonts w:ascii="ff5" w:eastAsia="Times New Roman" w:hAnsi="ff5" w:cs="Times New Roman"/>
          <w:color w:val="231F20"/>
          <w:sz w:val="96"/>
          <w:szCs w:val="96"/>
        </w:rPr>
        <w:t>assumes all gain in the first</w:t>
      </w:r>
    </w:p>
    <w:p w14:paraId="396F98D8" w14:textId="77777777" w:rsidR="00FF49D3" w:rsidRPr="00FF49D3" w:rsidRDefault="00FF49D3" w:rsidP="00FF49D3">
      <w:pPr>
        <w:shd w:val="clear" w:color="auto" w:fill="FFFFFF"/>
        <w:spacing w:line="0" w:lineRule="auto"/>
        <w:rPr>
          <w:rFonts w:ascii="ff5" w:eastAsia="Times New Roman" w:hAnsi="ff5" w:cs="Times New Roman"/>
          <w:color w:val="231F20"/>
          <w:sz w:val="96"/>
          <w:szCs w:val="96"/>
        </w:rPr>
      </w:pPr>
      <w:proofErr w:type="gramStart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>third</w:t>
      </w:r>
      <w:proofErr w:type="gramEnd"/>
      <w:r w:rsidRPr="00FF49D3">
        <w:rPr>
          <w:rFonts w:ascii="ff5" w:eastAsia="Times New Roman" w:hAnsi="ff5" w:cs="Times New Roman"/>
          <w:color w:val="231F20"/>
          <w:sz w:val="96"/>
          <w:szCs w:val="96"/>
        </w:rPr>
        <w:t xml:space="preserve"> of the trip.</w:t>
      </w:r>
    </w:p>
    <w:p w14:paraId="72086262" w14:textId="54516E88" w:rsidR="00A93FE9" w:rsidRDefault="00FF49D3" w:rsidP="00C16703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  <w:proofErr w:type="gramStart"/>
      <w:r w:rsidRPr="001C486B">
        <w:rPr>
          <w:rFonts w:ascii="Times New Roman" w:hAnsi="Times New Roman" w:cs="Times New Roman"/>
          <w:b/>
          <w:lang w:val="en-GB"/>
        </w:rPr>
        <w:t xml:space="preserve">Figure </w:t>
      </w:r>
      <w:r w:rsidR="001C486B">
        <w:rPr>
          <w:rFonts w:ascii="Times New Roman" w:hAnsi="Times New Roman" w:cs="Times New Roman"/>
          <w:b/>
          <w:lang w:val="en-GB"/>
        </w:rPr>
        <w:t xml:space="preserve">3 from Schick </w:t>
      </w:r>
      <w:r w:rsidR="001C486B" w:rsidRPr="001C486B">
        <w:rPr>
          <w:rFonts w:ascii="Times New Roman" w:hAnsi="Times New Roman" w:cs="Times New Roman"/>
          <w:b/>
          <w:i/>
          <w:lang w:val="en-GB"/>
        </w:rPr>
        <w:t>et al.</w:t>
      </w:r>
      <w:r w:rsidR="001C486B">
        <w:rPr>
          <w:rFonts w:ascii="Times New Roman" w:hAnsi="Times New Roman" w:cs="Times New Roman"/>
          <w:b/>
          <w:lang w:val="en-GB"/>
        </w:rPr>
        <w:t xml:space="preserve"> 2013</w:t>
      </w:r>
      <w:r w:rsidRPr="001C486B">
        <w:rPr>
          <w:rFonts w:ascii="Times New Roman" w:hAnsi="Times New Roman" w:cs="Times New Roman"/>
          <w:b/>
          <w:lang w:val="en-GB"/>
        </w:rPr>
        <w:t>.</w:t>
      </w:r>
      <w:proofErr w:type="gramEnd"/>
      <w:r w:rsidRPr="00FF49D3">
        <w:rPr>
          <w:rFonts w:ascii="Times New Roman" w:hAnsi="Times New Roman" w:cs="Times New Roman"/>
          <w:lang w:val="en-GB"/>
        </w:rPr>
        <w:t xml:space="preserve"> Six different assumptions tested for the fixed fat-free tissue time series between the known initial measurement and the known</w:t>
      </w:r>
      <w:r w:rsidR="00C52E9F">
        <w:rPr>
          <w:rFonts w:ascii="Times New Roman" w:hAnsi="Times New Roman" w:cs="Times New Roman"/>
          <w:lang w:val="en-GB"/>
        </w:rPr>
        <w:t xml:space="preserve"> </w:t>
      </w:r>
      <w:r w:rsidRPr="00FF49D3">
        <w:rPr>
          <w:rFonts w:ascii="Times New Roman" w:hAnsi="Times New Roman" w:cs="Times New Roman"/>
          <w:lang w:val="en-GB"/>
        </w:rPr>
        <w:t xml:space="preserve">final measurement. Top panel assumes a constantly linear increase between measurements. Second panel has a higher rate of increase </w:t>
      </w:r>
      <w:proofErr w:type="spellStart"/>
      <w:r w:rsidRPr="00FF49D3">
        <w:rPr>
          <w:rFonts w:ascii="Times New Roman" w:hAnsi="Times New Roman" w:cs="Times New Roman"/>
          <w:lang w:val="en-GB"/>
        </w:rPr>
        <w:t>inthe</w:t>
      </w:r>
      <w:proofErr w:type="spellEnd"/>
      <w:r w:rsidRPr="00FF49D3">
        <w:rPr>
          <w:rFonts w:ascii="Times New Roman" w:hAnsi="Times New Roman" w:cs="Times New Roman"/>
          <w:lang w:val="en-GB"/>
        </w:rPr>
        <w:t xml:space="preserve"> final third of the trip to account for the weight of the pup. Third panel has higher initial gain, then slower, then higher again. Fourth</w:t>
      </w:r>
      <w:r w:rsidR="00C52E9F">
        <w:rPr>
          <w:rFonts w:ascii="Times New Roman" w:hAnsi="Times New Roman" w:cs="Times New Roman"/>
          <w:lang w:val="en-GB"/>
        </w:rPr>
        <w:t xml:space="preserve"> </w:t>
      </w:r>
      <w:r w:rsidRPr="00FF49D3">
        <w:rPr>
          <w:rFonts w:ascii="Times New Roman" w:hAnsi="Times New Roman" w:cs="Times New Roman"/>
          <w:lang w:val="en-GB"/>
        </w:rPr>
        <w:t>panel is higher, flat and higher but unlike panels 2 and 3, does not account for the weight of the pup. Panel 5 is like panel 4, but does</w:t>
      </w:r>
      <w:r w:rsidR="00C52E9F">
        <w:rPr>
          <w:rFonts w:ascii="Times New Roman" w:hAnsi="Times New Roman" w:cs="Times New Roman"/>
          <w:lang w:val="en-GB"/>
        </w:rPr>
        <w:t xml:space="preserve"> </w:t>
      </w:r>
      <w:r w:rsidRPr="00FF49D3">
        <w:rPr>
          <w:rFonts w:ascii="Times New Roman" w:hAnsi="Times New Roman" w:cs="Times New Roman"/>
          <w:lang w:val="en-GB"/>
        </w:rPr>
        <w:t>account for the weight of the pup. Finally, panel 6 – the assumption used following model selection – assumes all gain in the first</w:t>
      </w:r>
      <w:r w:rsidR="00C52E9F">
        <w:rPr>
          <w:rFonts w:ascii="Times New Roman" w:hAnsi="Times New Roman" w:cs="Times New Roman"/>
          <w:lang w:val="en-GB"/>
        </w:rPr>
        <w:t xml:space="preserve"> </w:t>
      </w:r>
      <w:r w:rsidRPr="00FF49D3">
        <w:rPr>
          <w:rFonts w:ascii="Times New Roman" w:hAnsi="Times New Roman" w:cs="Times New Roman"/>
          <w:lang w:val="en-GB"/>
        </w:rPr>
        <w:t>third of the trip.</w:t>
      </w:r>
      <w:r>
        <w:rPr>
          <w:rFonts w:ascii="Times New Roman" w:hAnsi="Times New Roman" w:cs="Times New Roman"/>
          <w:lang w:val="en-GB"/>
        </w:rPr>
        <w:t xml:space="preserve"> Reprin</w:t>
      </w:r>
      <w:r w:rsidR="00E32297">
        <w:rPr>
          <w:rFonts w:ascii="Times New Roman" w:hAnsi="Times New Roman" w:cs="Times New Roman"/>
          <w:lang w:val="en-GB"/>
        </w:rPr>
        <w:t xml:space="preserve">ted with permission from </w:t>
      </w:r>
      <w:r w:rsidR="006B0F82">
        <w:rPr>
          <w:rFonts w:ascii="Times New Roman" w:hAnsi="Times New Roman" w:cs="Times New Roman"/>
          <w:lang w:val="en-GB"/>
        </w:rPr>
        <w:t>Robert</w:t>
      </w:r>
      <w:r w:rsidR="00E32297">
        <w:rPr>
          <w:rFonts w:ascii="Times New Roman" w:hAnsi="Times New Roman" w:cs="Times New Roman"/>
          <w:lang w:val="en-GB"/>
        </w:rPr>
        <w:t xml:space="preserve"> Schick.</w:t>
      </w:r>
    </w:p>
    <w:p w14:paraId="46B33C51" w14:textId="77777777" w:rsidR="00A93FE9" w:rsidRPr="005B43BC" w:rsidRDefault="00A93FE9" w:rsidP="00C16703">
      <w:pPr>
        <w:spacing w:line="480" w:lineRule="auto"/>
        <w:contextualSpacing/>
        <w:rPr>
          <w:rFonts w:ascii="Times New Roman" w:hAnsi="Times New Roman" w:cs="Times New Roman"/>
          <w:lang w:val="en-GB"/>
        </w:rPr>
      </w:pPr>
    </w:p>
    <w:p w14:paraId="6A6C451A" w14:textId="7FD10AEF" w:rsidR="00140AF2" w:rsidRDefault="009070ED">
      <w:pPr>
        <w:rPr>
          <w:rFonts w:ascii="Times New Roman" w:hAnsi="Times New Roman" w:cs="Times New Roman"/>
          <w:b/>
        </w:rPr>
      </w:pPr>
      <w:r w:rsidRPr="009070ED">
        <w:rPr>
          <w:rFonts w:ascii="Times New Roman" w:hAnsi="Times New Roman" w:cs="Times New Roman"/>
          <w:b/>
        </w:rPr>
        <w:t>Literature Cited</w:t>
      </w:r>
    </w:p>
    <w:p w14:paraId="6166F2ED" w14:textId="77777777" w:rsidR="004A275C" w:rsidRDefault="004A275C">
      <w:pPr>
        <w:rPr>
          <w:rFonts w:ascii="Times New Roman" w:hAnsi="Times New Roman" w:cs="Times New Roman"/>
          <w:b/>
        </w:rPr>
      </w:pPr>
    </w:p>
    <w:p w14:paraId="2FA29077" w14:textId="3EA58413" w:rsidR="00CA0B82" w:rsidRPr="004A275C" w:rsidRDefault="004A275C" w:rsidP="004A275C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color w:val="000000"/>
          <w:sz w:val="36"/>
        </w:rPr>
      </w:pPr>
      <w:r w:rsidRPr="004A275C">
        <w:rPr>
          <w:rFonts w:ascii="Times" w:hAnsi="Times" w:cs="Times"/>
          <w:color w:val="000000"/>
          <w:szCs w:val="18"/>
        </w:rPr>
        <w:t xml:space="preserve">Crocker, </w:t>
      </w:r>
      <w:proofErr w:type="spellStart"/>
      <w:r w:rsidRPr="004A275C">
        <w:rPr>
          <w:rFonts w:ascii="Times" w:hAnsi="Times" w:cs="Times"/>
          <w:color w:val="000000"/>
          <w:szCs w:val="18"/>
        </w:rPr>
        <w:t>D.E</w:t>
      </w:r>
      <w:proofErr w:type="spellEnd"/>
      <w:r w:rsidRPr="004A275C">
        <w:rPr>
          <w:rFonts w:ascii="Times" w:hAnsi="Times" w:cs="Times"/>
          <w:color w:val="000000"/>
          <w:szCs w:val="18"/>
        </w:rPr>
        <w:t>., Williams, J.D.</w:t>
      </w:r>
      <w:r>
        <w:rPr>
          <w:rFonts w:ascii="Times" w:hAnsi="Times" w:cs="Times"/>
          <w:color w:val="000000"/>
          <w:szCs w:val="18"/>
        </w:rPr>
        <w:t xml:space="preserve">, Costa, D.P. &amp; Le Boeuf, </w:t>
      </w:r>
      <w:proofErr w:type="spellStart"/>
      <w:r>
        <w:rPr>
          <w:rFonts w:ascii="Times" w:hAnsi="Times" w:cs="Times"/>
          <w:color w:val="000000"/>
          <w:szCs w:val="18"/>
        </w:rPr>
        <w:t>B.J</w:t>
      </w:r>
      <w:proofErr w:type="spellEnd"/>
      <w:r>
        <w:rPr>
          <w:rFonts w:ascii="Times" w:hAnsi="Times" w:cs="Times"/>
          <w:color w:val="000000"/>
          <w:szCs w:val="18"/>
        </w:rPr>
        <w:t xml:space="preserve">. 2001. </w:t>
      </w:r>
      <w:proofErr w:type="gramStart"/>
      <w:r>
        <w:rPr>
          <w:rFonts w:ascii="Times" w:hAnsi="Times" w:cs="Times"/>
          <w:color w:val="000000"/>
          <w:szCs w:val="18"/>
        </w:rPr>
        <w:t>Mater</w:t>
      </w:r>
      <w:r w:rsidRPr="004A275C">
        <w:rPr>
          <w:rFonts w:ascii="Times" w:hAnsi="Times" w:cs="Times"/>
          <w:color w:val="000000"/>
          <w:szCs w:val="18"/>
        </w:rPr>
        <w:t>nal traits and reproductive effort in northern elephant seals.</w:t>
      </w:r>
      <w:proofErr w:type="gramEnd"/>
      <w:r w:rsidRPr="004A275C">
        <w:rPr>
          <w:rFonts w:ascii="Times" w:hAnsi="Times" w:cs="Times"/>
          <w:color w:val="000000"/>
          <w:szCs w:val="18"/>
        </w:rPr>
        <w:t xml:space="preserve"> Ecology, </w:t>
      </w:r>
      <w:r w:rsidRPr="004A275C">
        <w:rPr>
          <w:rFonts w:ascii="Times" w:hAnsi="Times" w:cs="Times"/>
          <w:b/>
          <w:color w:val="000000"/>
          <w:szCs w:val="18"/>
        </w:rPr>
        <w:t>82</w:t>
      </w:r>
      <w:r w:rsidRPr="004A275C">
        <w:rPr>
          <w:rFonts w:ascii="Times" w:hAnsi="Times" w:cs="Times"/>
          <w:color w:val="000000"/>
          <w:szCs w:val="18"/>
        </w:rPr>
        <w:t xml:space="preserve">, 3541–3555. </w:t>
      </w:r>
    </w:p>
    <w:p w14:paraId="0A8CEE70" w14:textId="1753C2A5" w:rsidR="00CA0B82" w:rsidRDefault="00CA0B82" w:rsidP="00CA0B82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Schick, R. S. </w:t>
      </w:r>
      <w:r w:rsidRPr="008366F1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>. 2013.</w:t>
      </w:r>
      <w:proofErr w:type="gramEnd"/>
      <w:r>
        <w:rPr>
          <w:rFonts w:ascii="Times New Roman" w:hAnsi="Times New Roman" w:cs="Times New Roman"/>
        </w:rPr>
        <w:t xml:space="preserve"> Estimating resource acquisition and at-sea body condition of a marine predator. </w:t>
      </w:r>
      <w:r>
        <w:rPr>
          <w:rFonts w:ascii="Times New Roman" w:hAnsi="Times New Roman" w:cs="Times New Roman"/>
          <w:i/>
          <w:iCs/>
        </w:rPr>
        <w:t xml:space="preserve">J </w:t>
      </w:r>
      <w:proofErr w:type="spellStart"/>
      <w:r>
        <w:rPr>
          <w:rFonts w:ascii="Times New Roman" w:hAnsi="Times New Roman" w:cs="Times New Roman"/>
          <w:i/>
          <w:iCs/>
        </w:rPr>
        <w:t>Anim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Ecol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82</w:t>
      </w:r>
      <w:r>
        <w:rPr>
          <w:rFonts w:ascii="Times New Roman" w:hAnsi="Times New Roman" w:cs="Times New Roman"/>
        </w:rPr>
        <w:t>, 1</w:t>
      </w:r>
      <w:r w:rsidR="00A17DDF">
        <w:rPr>
          <w:rFonts w:ascii="Times New Roman" w:hAnsi="Times New Roman" w:cs="Times New Roman"/>
        </w:rPr>
        <w:t xml:space="preserve">300–1315. </w:t>
      </w:r>
    </w:p>
    <w:p w14:paraId="01F065BF" w14:textId="77777777" w:rsidR="00A17DDF" w:rsidRDefault="00A17DDF" w:rsidP="00CA0B82">
      <w:pPr>
        <w:spacing w:line="480" w:lineRule="auto"/>
        <w:rPr>
          <w:rFonts w:ascii="Times New Roman" w:hAnsi="Times New Roman" w:cs="Times New Roman"/>
        </w:rPr>
      </w:pPr>
    </w:p>
    <w:p w14:paraId="77E658DC" w14:textId="77777777" w:rsidR="00A17DDF" w:rsidRPr="009070ED" w:rsidRDefault="00A17DDF" w:rsidP="00CA0B82">
      <w:pPr>
        <w:spacing w:line="480" w:lineRule="auto"/>
        <w:rPr>
          <w:rFonts w:ascii="Times New Roman" w:hAnsi="Times New Roman" w:cs="Times New Roman"/>
          <w:b/>
        </w:rPr>
      </w:pPr>
    </w:p>
    <w:sectPr w:rsidR="00A17DDF" w:rsidRPr="009070ED" w:rsidSect="00140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03"/>
    <w:rsid w:val="00020015"/>
    <w:rsid w:val="001177E5"/>
    <w:rsid w:val="00121594"/>
    <w:rsid w:val="00140AF2"/>
    <w:rsid w:val="00166AE5"/>
    <w:rsid w:val="001C4237"/>
    <w:rsid w:val="001C486B"/>
    <w:rsid w:val="0024057F"/>
    <w:rsid w:val="002620AC"/>
    <w:rsid w:val="00276C61"/>
    <w:rsid w:val="002E730B"/>
    <w:rsid w:val="002F52D4"/>
    <w:rsid w:val="00467CBC"/>
    <w:rsid w:val="004A275C"/>
    <w:rsid w:val="006B0F82"/>
    <w:rsid w:val="006B6B4A"/>
    <w:rsid w:val="007D406B"/>
    <w:rsid w:val="008225DA"/>
    <w:rsid w:val="008366F1"/>
    <w:rsid w:val="009070ED"/>
    <w:rsid w:val="00A17DDF"/>
    <w:rsid w:val="00A93FE9"/>
    <w:rsid w:val="00AF2CA8"/>
    <w:rsid w:val="00C16703"/>
    <w:rsid w:val="00C52E9F"/>
    <w:rsid w:val="00CA0B82"/>
    <w:rsid w:val="00D35D54"/>
    <w:rsid w:val="00D61C9C"/>
    <w:rsid w:val="00E32297"/>
    <w:rsid w:val="00FB0981"/>
    <w:rsid w:val="00FF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88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5"/>
    <w:rPr>
      <w:rFonts w:ascii="Lucida Grande" w:hAnsi="Lucida Grande" w:cs="Lucida Grande"/>
      <w:sz w:val="18"/>
      <w:szCs w:val="18"/>
    </w:rPr>
  </w:style>
  <w:style w:type="character" w:customStyle="1" w:styleId="enhanced-figure">
    <w:name w:val="enhanced-figure"/>
    <w:basedOn w:val="DefaultParagraphFont"/>
    <w:rsid w:val="00FF49D3"/>
  </w:style>
  <w:style w:type="character" w:customStyle="1" w:styleId="a">
    <w:name w:val="_"/>
    <w:basedOn w:val="DefaultParagraphFont"/>
    <w:rsid w:val="00FF49D3"/>
  </w:style>
  <w:style w:type="character" w:customStyle="1" w:styleId="current-selection">
    <w:name w:val="current-selection"/>
    <w:basedOn w:val="DefaultParagraphFont"/>
    <w:rsid w:val="00FF49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15"/>
    <w:rPr>
      <w:rFonts w:ascii="Lucida Grande" w:hAnsi="Lucida Grande" w:cs="Lucida Grande"/>
      <w:sz w:val="18"/>
      <w:szCs w:val="18"/>
    </w:rPr>
  </w:style>
  <w:style w:type="character" w:customStyle="1" w:styleId="enhanced-figure">
    <w:name w:val="enhanced-figure"/>
    <w:basedOn w:val="DefaultParagraphFont"/>
    <w:rsid w:val="00FF49D3"/>
  </w:style>
  <w:style w:type="character" w:customStyle="1" w:styleId="a">
    <w:name w:val="_"/>
    <w:basedOn w:val="DefaultParagraphFont"/>
    <w:rsid w:val="00FF49D3"/>
  </w:style>
  <w:style w:type="character" w:customStyle="1" w:styleId="current-selection">
    <w:name w:val="current-selection"/>
    <w:basedOn w:val="DefaultParagraphFont"/>
    <w:rsid w:val="00FF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765</Words>
  <Characters>4365</Characters>
  <Application>Microsoft Macintosh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Abrahms</dc:creator>
  <cp:keywords/>
  <dc:description/>
  <cp:lastModifiedBy>Briana Abrahms</cp:lastModifiedBy>
  <cp:revision>29</cp:revision>
  <dcterms:created xsi:type="dcterms:W3CDTF">2018-02-09T19:25:00Z</dcterms:created>
  <dcterms:modified xsi:type="dcterms:W3CDTF">2018-02-09T20:23:00Z</dcterms:modified>
</cp:coreProperties>
</file>