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27DC2" w14:textId="77777777" w:rsidR="00F67A60" w:rsidRDefault="00F67A60" w:rsidP="00E81236">
      <w:pPr>
        <w:spacing w:line="480" w:lineRule="auto"/>
        <w:rPr>
          <w:b/>
        </w:rPr>
      </w:pPr>
      <w:bookmarkStart w:id="0" w:name="_GoBack"/>
      <w:bookmarkEnd w:id="0"/>
    </w:p>
    <w:p w14:paraId="16A53543" w14:textId="77777777" w:rsidR="00AE7DD5" w:rsidRPr="00615B18" w:rsidRDefault="0045265C" w:rsidP="00E81236">
      <w:pPr>
        <w:spacing w:line="480" w:lineRule="auto"/>
        <w:rPr>
          <w:b/>
          <w:sz w:val="28"/>
        </w:rPr>
      </w:pPr>
      <w:r w:rsidRPr="00615B18">
        <w:rPr>
          <w:b/>
          <w:sz w:val="28"/>
        </w:rPr>
        <w:t>Supplementary materials</w:t>
      </w:r>
    </w:p>
    <w:p w14:paraId="5F9A74C5" w14:textId="59BEABC5" w:rsidR="00615B18" w:rsidRDefault="00615B18" w:rsidP="00615B18">
      <w:pPr>
        <w:spacing w:before="240" w:line="480" w:lineRule="auto"/>
        <w:rPr>
          <w:b/>
          <w:sz w:val="28"/>
          <w:szCs w:val="32"/>
        </w:rPr>
      </w:pPr>
      <w:r>
        <w:rPr>
          <w:b/>
          <w:sz w:val="28"/>
        </w:rPr>
        <w:t xml:space="preserve">Evidence of </w:t>
      </w:r>
      <w:r w:rsidR="00CC12C6">
        <w:rPr>
          <w:b/>
          <w:sz w:val="28"/>
        </w:rPr>
        <w:t>sociality</w:t>
      </w:r>
      <w:r>
        <w:rPr>
          <w:b/>
          <w:sz w:val="28"/>
        </w:rPr>
        <w:t xml:space="preserve"> in the timing and </w:t>
      </w:r>
      <w:r>
        <w:rPr>
          <w:b/>
          <w:sz w:val="28"/>
          <w:szCs w:val="32"/>
        </w:rPr>
        <w:t xml:space="preserve">location of foraging in a colonial seabird </w:t>
      </w:r>
      <w:r>
        <w:rPr>
          <w:b/>
        </w:rPr>
        <w:t xml:space="preserve"> </w:t>
      </w:r>
    </w:p>
    <w:p w14:paraId="437E9670" w14:textId="161B79AF" w:rsidR="00615B18" w:rsidRDefault="00615B18" w:rsidP="00615B18">
      <w:pPr>
        <w:spacing w:before="240" w:line="480" w:lineRule="auto"/>
        <w:rPr>
          <w:sz w:val="24"/>
          <w:szCs w:val="28"/>
        </w:rPr>
      </w:pPr>
      <w:r>
        <w:rPr>
          <w:sz w:val="24"/>
          <w:szCs w:val="28"/>
        </w:rPr>
        <w:t>Teri B. Jones</w:t>
      </w:r>
      <w:r w:rsidRPr="00B70904">
        <w:rPr>
          <w:sz w:val="24"/>
          <w:szCs w:val="28"/>
        </w:rPr>
        <w:t>, Samantha C. Patrick, John P.Y. Arnould, Marlenne A. Rodríguez-Malagón, Melanie R. Wells, and Jonathan A. Green</w:t>
      </w:r>
    </w:p>
    <w:p w14:paraId="0BEB5EA4" w14:textId="42AA6DE3" w:rsidR="00615B18" w:rsidRDefault="00615B18" w:rsidP="00E81236">
      <w:pPr>
        <w:spacing w:line="480" w:lineRule="auto"/>
        <w:rPr>
          <w:b/>
        </w:rPr>
      </w:pPr>
      <w:r>
        <w:rPr>
          <w:b/>
        </w:rPr>
        <w:t xml:space="preserve">Supplementary methods </w:t>
      </w:r>
    </w:p>
    <w:p w14:paraId="5AF8F885" w14:textId="77777777" w:rsidR="0045265C" w:rsidRDefault="0045265C" w:rsidP="00E81236">
      <w:pPr>
        <w:spacing w:line="480" w:lineRule="auto"/>
        <w:rPr>
          <w:i/>
        </w:rPr>
      </w:pPr>
      <w:r>
        <w:rPr>
          <w:i/>
        </w:rPr>
        <w:t>Data loggers and handling</w:t>
      </w:r>
    </w:p>
    <w:p w14:paraId="1C62F477" w14:textId="3F7FFA2F" w:rsidR="0045265C" w:rsidRDefault="007019CD" w:rsidP="00E81236">
      <w:pPr>
        <w:spacing w:line="480" w:lineRule="auto"/>
      </w:pPr>
      <w:r>
        <w:t xml:space="preserve">Gannets </w:t>
      </w:r>
      <w:r w:rsidRPr="007019CD">
        <w:t>were captured on their nests by hand</w:t>
      </w:r>
      <w:r w:rsidR="003B161A">
        <w:t xml:space="preserve"> and</w:t>
      </w:r>
      <w:r w:rsidRPr="007019CD">
        <w:t xml:space="preserve"> </w:t>
      </w:r>
      <w:r w:rsidR="00E828EB">
        <w:t xml:space="preserve">weighed in a cloth bag </w:t>
      </w:r>
      <w:r w:rsidR="0040238B">
        <w:t xml:space="preserve">using </w:t>
      </w:r>
      <w:r w:rsidR="00E828EB">
        <w:t>a suspension scale (± 25 g, Salter). E</w:t>
      </w:r>
      <w:r>
        <w:t xml:space="preserve">ach </w:t>
      </w:r>
      <w:r w:rsidRPr="007019CD">
        <w:t xml:space="preserve">individual was </w:t>
      </w:r>
      <w:r w:rsidR="00E828EB">
        <w:t xml:space="preserve">then </w:t>
      </w:r>
      <w:r w:rsidRPr="007019CD">
        <w:t>fitted with G</w:t>
      </w:r>
      <w:r>
        <w:t>PS data logger (</w:t>
      </w:r>
      <w:r w:rsidR="00E828EB">
        <w:t>igotU GT-600, Mobile Action, Taiwan, 26.6 g</w:t>
      </w:r>
      <w:r>
        <w:t>)</w:t>
      </w:r>
      <w:r w:rsidR="00E828EB">
        <w:t xml:space="preserve"> </w:t>
      </w:r>
      <w:r w:rsidRPr="007019CD">
        <w:t xml:space="preserve">packaged in heat shrink tubing and secured to the central tail feathers using </w:t>
      </w:r>
      <w:r w:rsidR="000A277E">
        <w:t xml:space="preserve">water-proof </w:t>
      </w:r>
      <w:r w:rsidRPr="007019CD">
        <w:t>tape</w:t>
      </w:r>
      <w:r w:rsidR="00E828EB">
        <w:t xml:space="preserve"> (</w:t>
      </w:r>
      <w:r w:rsidR="00242D07" w:rsidRPr="00242D07">
        <w:t>Tesa</w:t>
      </w:r>
      <w:r w:rsidR="00242D07">
        <w:t xml:space="preserve"> 4651</w:t>
      </w:r>
      <w:r w:rsidR="00242D07" w:rsidRPr="00242D07">
        <w:t>, Beiersdorf AG, Germany</w:t>
      </w:r>
      <w:r w:rsidR="00E828EB">
        <w:t>)</w:t>
      </w:r>
      <w:r w:rsidRPr="007019CD">
        <w:t>, to minimise impact on aerodynamics during plunge diving</w:t>
      </w:r>
      <w:r>
        <w:t xml:space="preserve"> </w:t>
      </w:r>
      <w:r>
        <w:fldChar w:fldCharType="begin"/>
      </w:r>
      <w:r w:rsidR="00CC12C6">
        <w:instrText xml:space="preserve"> ADDIN ZOTERO_ITEM CSL_CITATION {"citationID":"a173bf9kbu5","properties":{"formattedCitation":"[1]","plainCitation":"[1]","noteIndex":0},"citationItems":[{"id":616,"uris":["http://zotero.org/users/3350645/items/BX8EHEFC"],"uri":["http://zotero.org/users/3350645/items/BX8EHEFC"],"itemData":{"id":616,"type":"article-journal","title":"Underwater wingbeats extend depth and duration of plunge dives in northern gannets Morus bassanus","container-title":"Journal of Avian Biology","page":"380-387","volume":"40","issue":"4","source":"Wiley Online Library","abstract":"Plunge-diving is a specialised hunting tactic used by some avian predators to overcome the high buoyancy encountered near the water surface and surprise prey. However, plunge-diving is effective only to a certain depth; to access deeper prey, birds need to use an additional method of propulsion, e.g. wings or feet. We used miniature accelerometers to record the details of the aerial and underwater phases of plunge dives by northern gannets Morus bassanus. Birds never reached depths &gt;11 m using the momentum of the aerial part of the plunge dive and had to flap their wings underwater to gain additional depth. A biomechanical model demonstrates that little additional depth can be obtained from momentum alone when initiating a plunge from heights &gt;40 m. Thus, the additional energy required to attain greater starting heights is not rewarded by reaching significantly greater depths. However, by using their wings underwater, gannets were able to more than double the depth attained (up to 24 m). It appears that prey may be captured by surprise in the first 10 m of the water column, whereas wing-propelled pursuit is required to catch prey at deeper depths, a strategy likely to be used only for prey of sufficient profitability to justify the cost of flapping the gannet's large wings underwater. Our study demonstrates the importance of understanding the constraints placed on predators by the physical environment when interpreting predator-prey interactions.","DOI":"10.1111/j.1600-048X.2008.04592.x","ISSN":"1600-048X","journalAbbreviation":"‎J Avian Biol","language":"en","author":[{"family":"Ropert-Coudert","given":"Yan"},{"family":"Daunt","given":"Francis"},{"family":"Kato","given":"Akiko"},{"family":"Ryan","given":"Peter G."},{"family":"Lewis","given":"Sue"},{"family":"Kobayashi","given":"Kaori"},{"family":"Mori","given":"Yoshihisa"},{"family":"Grémillet","given":"David"},{"family":"Wanless","given":"Sarah"}],"issued":{"date-parts":[["2009",7,1]]}}}],"schema":"https://github.com/citation-style-language/schema/raw/master/csl-citation.json"} </w:instrText>
      </w:r>
      <w:r>
        <w:fldChar w:fldCharType="separate"/>
      </w:r>
      <w:r w:rsidRPr="007019CD">
        <w:rPr>
          <w:rFonts w:ascii="Calibri" w:hAnsi="Calibri"/>
        </w:rPr>
        <w:t>[1]</w:t>
      </w:r>
      <w:r>
        <w:fldChar w:fldCharType="end"/>
      </w:r>
      <w:r>
        <w:t xml:space="preserve">. </w:t>
      </w:r>
      <w:r w:rsidR="00E828EB">
        <w:t>Individuals were then returned to the nest to resume normal behaviours with handling time last</w:t>
      </w:r>
      <w:r w:rsidR="000A277E">
        <w:t>ing</w:t>
      </w:r>
      <w:r w:rsidR="00E828EB">
        <w:t xml:space="preserve"> &lt;</w:t>
      </w:r>
      <w:r w:rsidR="000A277E">
        <w:t>6</w:t>
      </w:r>
      <w:r w:rsidR="00E828EB">
        <w:t xml:space="preserve"> min. </w:t>
      </w:r>
      <w:r w:rsidR="000A277E">
        <w:t xml:space="preserve">Upon recaptures, </w:t>
      </w:r>
      <w:r w:rsidR="00F67A60">
        <w:t>devices were removed</w:t>
      </w:r>
      <w:r w:rsidR="000A277E">
        <w:t xml:space="preserve"> by peeling off the water-proof tape from the feathers, </w:t>
      </w:r>
      <w:r w:rsidR="00F67A60">
        <w:t xml:space="preserve">birds </w:t>
      </w:r>
      <w:r w:rsidR="000A277E">
        <w:t xml:space="preserve">were again weighed and morphometric measurements </w:t>
      </w:r>
      <w:r w:rsidR="00F67A60">
        <w:t xml:space="preserve">were </w:t>
      </w:r>
      <w:r w:rsidR="000A277E">
        <w:t xml:space="preserve">taken before </w:t>
      </w:r>
      <w:r w:rsidR="00F67A60">
        <w:t>release</w:t>
      </w:r>
      <w:r w:rsidR="000A277E">
        <w:t xml:space="preserve">, with handling time lasting &lt;15 min. </w:t>
      </w:r>
    </w:p>
    <w:p w14:paraId="1B492D29" w14:textId="213BEFBC" w:rsidR="006D6C44" w:rsidRPr="006D6C44" w:rsidRDefault="006D6C44" w:rsidP="00E81236">
      <w:pPr>
        <w:spacing w:line="480" w:lineRule="auto"/>
        <w:rPr>
          <w:i/>
        </w:rPr>
      </w:pPr>
      <w:r w:rsidRPr="006D6C44">
        <w:rPr>
          <w:i/>
        </w:rPr>
        <w:t>Colony departures</w:t>
      </w:r>
      <w:r w:rsidR="00B82D85">
        <w:rPr>
          <w:i/>
        </w:rPr>
        <w:t xml:space="preserve"> </w:t>
      </w:r>
    </w:p>
    <w:p w14:paraId="1CB4E677" w14:textId="0D15079F" w:rsidR="00623C92" w:rsidRDefault="006D6C44" w:rsidP="00E81236">
      <w:pPr>
        <w:spacing w:line="480" w:lineRule="auto"/>
      </w:pPr>
      <w:r w:rsidRPr="00A8177D">
        <w:t xml:space="preserve">We first identified all tracking data in which birds undertook </w:t>
      </w:r>
      <w:r w:rsidR="007F1D1C">
        <w:t xml:space="preserve">complete </w:t>
      </w:r>
      <w:r w:rsidRPr="00A8177D">
        <w:t>foraging trips</w:t>
      </w:r>
      <w:r w:rsidR="004D21C3">
        <w:t>. W</w:t>
      </w:r>
      <w:r w:rsidR="007F1D1C">
        <w:t xml:space="preserve">e defined a complete foraging trip as all trips that started and ended at the colony, contained at least one patch defined as foraging (below) and did not contain any gaps due to missing GPS fixes of &gt; 30 minutes. We determined departure and return to the colony area </w:t>
      </w:r>
      <w:r w:rsidR="007F1D1C" w:rsidRPr="00A8177D">
        <w:t>using a 500 m buffer around the colony site</w:t>
      </w:r>
      <w:r w:rsidR="007F1D1C">
        <w:t>, t</w:t>
      </w:r>
      <w:r w:rsidRPr="00A8177D">
        <w:t xml:space="preserve">his radius accounts for non-foraging movements around the colony, such as when birds </w:t>
      </w:r>
      <w:r w:rsidRPr="00A8177D">
        <w:lastRenderedPageBreak/>
        <w:t>respond to disturbances, but do not depart the colony area. Additionally, this radius allows for the potential that departures occur from rafts and not from the colony itself, as any rafting observed at this colony occurs within close proximity of the colony (JPYA; personal observation).</w:t>
      </w:r>
      <w:r w:rsidRPr="006D6C44">
        <w:t xml:space="preserve"> </w:t>
      </w:r>
      <w:r w:rsidR="005904F4">
        <w:t xml:space="preserve">We also examined </w:t>
      </w:r>
      <w:r w:rsidR="00F67A60">
        <w:t>colony co-departures</w:t>
      </w:r>
      <w:r w:rsidR="005904F4">
        <w:t xml:space="preserve"> </w:t>
      </w:r>
      <w:r w:rsidR="007F1D1C">
        <w:t>using</w:t>
      </w:r>
      <w:r w:rsidR="005904F4">
        <w:t xml:space="preserve"> 1.5, 5 and 10 minute time windows. Results for 1.5 and 5 min</w:t>
      </w:r>
      <w:r w:rsidR="00F67A60">
        <w:t>utes</w:t>
      </w:r>
      <w:r w:rsidR="005904F4">
        <w:t xml:space="preserve"> were qualitatively similar (supplemental figure 1).</w:t>
      </w:r>
      <w:r w:rsidR="00CC12C6">
        <w:t xml:space="preserve"> To allow for </w:t>
      </w:r>
      <w:r w:rsidR="0069090F">
        <w:t xml:space="preserve">individuals’ </w:t>
      </w:r>
      <w:r w:rsidR="00CC12C6">
        <w:t>GPS devices taking fixes up to 60 seconds apart we selected the 3-minute time window for the presented analysis</w:t>
      </w:r>
      <w:r w:rsidR="0069090F">
        <w:t>, as this attempts to minimises the selected time-window while still aiming to include co-departures that might be otherwise be missed due to device resolution</w:t>
      </w:r>
      <w:r w:rsidR="00CC12C6">
        <w:t xml:space="preserve">. As gannets have been found to have a very long visual range (10-40 km; </w:t>
      </w:r>
      <w:r w:rsidR="00CC12C6">
        <w:fldChar w:fldCharType="begin"/>
      </w:r>
      <w:r w:rsidR="00CC12C6">
        <w:instrText xml:space="preserve"> ADDIN ZOTERO_ITEM CSL_CITATION {"citationID":"1C52qsbk","properties":{"formattedCitation":"[2]","plainCitation":"[2]","noteIndex":0},"citationItems":[{"id":55,"uris":["http://zotero.org/users/3350645/items/E4XHD7GS"],"uri":["http://zotero.org/users/3350645/items/E4XHD7GS"],"itemData":{"id":55,"type":"article-journal","title":"Local enhancement in a seabird: reaction distances and foraging consequence of predator aggregations","container-title":"Behavioral Ecology","page":"1302-1310","volume":"25","issue":"6","source":"beheco.oxfordjournals.org.liverpool.idm.oclc.org","abstract":"Seabirds foraging on pelagic fish develop behavioral strategies specifically adapted to locate inconspicuous prey that are aggregated in spatially dynamic patches. In the marine environment, they may use various mechanisms to detect cues of prey availability. The aggregation of predators at a patch of food is a particularly obvious cue to locate prey, a mechanism known as local enhancement. Pioneering studies described the formation of foraging groups at sea, showing that seabirds are attracted to feeding conspecifics. Improved foraging success due to local enhancement has been suggested from modeling studies, but no direct validation of these results exists. We deployed video cameras concomitantly with GPS loggers on Cape gannets to study the behavioral responses of equipped birds to the aggregation of predators at food patches. We showed that the reaction distances of equipped birds increased with the size of an aggregation, demonstrating that predator aggregations enhance food detectability for foragers. For small aggregations (&lt;50 gannets), reaction distances were mostly less than 10 km, and they increased up to almost 40 km for larger aggregations (100–150 gannets). In addition, we showed that the number and frequency of dives increased with the number of conspecifics aggregated, up to a threshold. The predator aggregations on a patch of food could, therefore, not only inform about the presence of prey but also entail information about foraging conditions. From direct observations on the various components involved, our study provides justification of the use and advantages of local enhancement in foraging seabirds.","DOI":"10.1093/beheco/aru132","ISSN":"1045-2249, 1465-7279","shortTitle":"Local enhancement in a seabird","journalAbbreviation":"Behav Ecol","language":"en","author":[{"family":"Thiebault","given":"Andréa"},{"family":"Mullers","given":"Ralf H. E."},{"family":"Pistorius","given":"Pierre A."},{"family":"Tremblay","given":"Yann"}],"issued":{"date-parts":[["2014",11,1]]}}}],"schema":"https://github.com/citation-style-language/schema/raw/master/csl-citation.json"} </w:instrText>
      </w:r>
      <w:r w:rsidR="00CC12C6">
        <w:fldChar w:fldCharType="separate"/>
      </w:r>
      <w:r w:rsidR="00CC12C6" w:rsidRPr="00CC12C6">
        <w:rPr>
          <w:rFonts w:ascii="Calibri" w:hAnsi="Calibri"/>
        </w:rPr>
        <w:t>[2]</w:t>
      </w:r>
      <w:r w:rsidR="00CC12C6">
        <w:fldChar w:fldCharType="end"/>
      </w:r>
      <w:r w:rsidR="00CC12C6">
        <w:t>), even at the maximum of this time-</w:t>
      </w:r>
      <w:r w:rsidR="0069090F">
        <w:t xml:space="preserve">window </w:t>
      </w:r>
      <w:r w:rsidR="00CC12C6">
        <w:t>departing bird</w:t>
      </w:r>
      <w:r w:rsidR="0069090F">
        <w:t xml:space="preserve">s will still be in visual range of one another. </w:t>
      </w:r>
    </w:p>
    <w:p w14:paraId="41FBC355" w14:textId="77777777" w:rsidR="006D6C44" w:rsidRDefault="006D6C44" w:rsidP="00E81236">
      <w:pPr>
        <w:spacing w:line="480" w:lineRule="auto"/>
        <w:rPr>
          <w:i/>
        </w:rPr>
      </w:pPr>
      <w:r w:rsidRPr="006D6C44">
        <w:rPr>
          <w:i/>
        </w:rPr>
        <w:t>Behavioural classification</w:t>
      </w:r>
    </w:p>
    <w:p w14:paraId="4A6AE558" w14:textId="7AD22424" w:rsidR="00B57077" w:rsidRDefault="00B57077" w:rsidP="00E81236">
      <w:pPr>
        <w:spacing w:line="480" w:lineRule="auto"/>
      </w:pPr>
      <w:r w:rsidRPr="00B57077">
        <w:t>To identify areas in which gannets exhibit foraging behaviour during their foraging trips, we used Expectation-Maximization binary Clustering</w:t>
      </w:r>
      <w:r>
        <w:t xml:space="preserve"> </w:t>
      </w:r>
      <w:r>
        <w:fldChar w:fldCharType="begin"/>
      </w:r>
      <w:r w:rsidR="00CC12C6">
        <w:instrText xml:space="preserve"> ADDIN ZOTERO_ITEM CSL_CITATION {"citationID":"amg4da24kd","properties":{"formattedCitation":"[3]","plainCitation":"[3]","noteIndex":0},"citationItems":[{"id":506,"uris":["http://zotero.org/users/3350645/items/S6DXN9CB"],"uri":["http://zotero.org/users/3350645/items/S6DXN9CB"],"itemData":{"id":506,"type":"article-journal","title":"Expectation-maximization binary clustering for behavioural annotation","container-title":"PLOS ONE","page":"e0151984","volume":"11","issue":"3","source":"PLoS Journals","abstract":"The growing capacity to process and store animal tracks has spurred the development of new methods to segment animal trajectories into elementary units of movement. Key challenges for movement trajectory segmentation are to (i) minimize the need of supervision, (ii) reduce computational costs, (iii) minimize the need of prior assumptions (e.g. simple parametrizations), and (iv) capture biologically meaningful semantics, useful across a broad range of species. We introduce the Expectation-Maximization binary Clustering (EMbC), a general purpose, unsupervised approach to multivariate data clustering. The EMbC is a variant of the Expectation-Maximization Clustering (EMC), a clustering algorithm based on the maximum likelihood estimation of a Gaussian mixture model. This is an iterative algorithm with a closed form step solution and hence a reasonable computational cost. The method looks for a good compromise between statistical soundness and ease and generality of use (by minimizing prior assumptions and favouring the semantic interpretation of the final clustering). Here we focus on the suitability of the EMbC algorithm for behavioural annotation of movement data. We show and discuss the EMbC outputs in both simulated trajectories and empirical movement trajectories including different species and different tracking methodologies. We use synthetic trajectories to assess the performance of EMbC compared to classic EMC and Hidden Markov Models. Empirical trajectories allow us to explore the robustness of the EMbC to data loss and data inaccuracies, and assess the relationship between EMbC output and expert label assignments. Additionally, we suggest a smoothing procedure to account for temporal correlations among labels, and a proper visualization of the output for movement trajectories. Our algorithm is available as an R-package with a set of complementary functions to ease the analysis.","DOI":"10.1371/journal.pone.0151984","ISSN":"1932-6203","journalAbbreviation":"PLOS ONE","author":[{"family":"Garriga","given":"Joan"},{"family":"Palmer","given":"John R. B."},{"family":"Oltra","given":"Aitana"},{"family":"Bartumeus","given":"Frederic"}],"issued":{"date-parts":[["2016",3,22]]}}}],"schema":"https://github.com/citation-style-language/schema/raw/master/csl-citation.json"} </w:instrText>
      </w:r>
      <w:r>
        <w:fldChar w:fldCharType="separate"/>
      </w:r>
      <w:r w:rsidR="00CC12C6" w:rsidRPr="00CC12C6">
        <w:rPr>
          <w:rFonts w:ascii="Calibri" w:hAnsi="Calibri"/>
        </w:rPr>
        <w:t>[3]</w:t>
      </w:r>
      <w:r>
        <w:fldChar w:fldCharType="end"/>
      </w:r>
      <w:r>
        <w:t xml:space="preserve">, </w:t>
      </w:r>
      <w:r w:rsidRPr="00B57077">
        <w:t>a method based on maximum likelihood Gaussian mixture models</w:t>
      </w:r>
      <w:r w:rsidR="00E473C6">
        <w:t xml:space="preserve"> </w:t>
      </w:r>
      <w:r w:rsidR="00E473C6">
        <w:fldChar w:fldCharType="begin"/>
      </w:r>
      <w:r w:rsidR="00CC12C6">
        <w:instrText xml:space="preserve"> ADDIN ZOTERO_ITEM CSL_CITATION {"citationID":"a24ru0iuv4e","properties":{"formattedCitation":"[4]","plainCitation":"[4]","noteIndex":0},"citationItems":[{"id":619,"uris":["http://zotero.org/users/3350645/items/Z4XSE2KV"],"uri":["http://zotero.org/users/3350645/items/Z4XSE2KV"],"itemData":{"id":619,"type":"article-journal","title":"Mixture Densities, Maximum Likelihood and the Em Algorithm","container-title":"SIAM Review","page":"195-239","volume":"26","issue":"2","source":"JSTOR","abstract":"The problem of estimating the parameters which determine a mixture density has been the subject of a large, diverse body of literature spanning nearly ninety years. During the last two decades, the method of maximum likelihood has become the most widely followed approach to this problem, thanks primarily to the advent of high speed electronic computers. Here, we first offer a brief survey of the literature directed toward this problem and review maximum-likelihood estimation for it. We then turn to the subject of ultimate interest, which is a particular iterative procedure for numerically approximating maximum-likelihood estimates for mixture density problems. This procedure, known as the EM algorithm, is a specialization to the mixture density context of a general algorithm of the same name used to approximate maximum-likelihood estimates for incomplete data problems. We discuss the formulation and theoretical and practical properties of the EM algorithm for mixture densities, focussing in particular on mixtures of densities from exponential families.","ISSN":"0036-1445","author":[{"family":"Redner","given":"Richard A."},{"family":"Walker","given":"Homer F."}],"issued":{"date-parts":[["1984"]]}}}],"schema":"https://github.com/citation-style-language/schema/raw/master/csl-citation.json"} </w:instrText>
      </w:r>
      <w:r w:rsidR="00E473C6">
        <w:fldChar w:fldCharType="separate"/>
      </w:r>
      <w:r w:rsidR="00CC12C6" w:rsidRPr="00CC12C6">
        <w:rPr>
          <w:rFonts w:ascii="Calibri" w:hAnsi="Calibri"/>
        </w:rPr>
        <w:t>[4]</w:t>
      </w:r>
      <w:r w:rsidR="00E473C6">
        <w:fldChar w:fldCharType="end"/>
      </w:r>
      <w:r w:rsidR="00E473C6">
        <w:t xml:space="preserve">. </w:t>
      </w:r>
      <w:r w:rsidR="00E473C6" w:rsidRPr="00E473C6">
        <w:t>EMbC is an unsupervised clustering algorithm that is easily implemented and produces biologically interpretable behavioural classification from animal tracking data</w:t>
      </w:r>
      <w:r w:rsidR="00F67A60">
        <w:t>. It</w:t>
      </w:r>
      <w:r w:rsidR="00E473C6" w:rsidRPr="00E473C6">
        <w:t xml:space="preserve"> has been previously demonstrated to produce accurate results for </w:t>
      </w:r>
      <w:r w:rsidR="005807CA">
        <w:t xml:space="preserve">congeneric </w:t>
      </w:r>
      <w:r w:rsidR="00E473C6" w:rsidRPr="00E473C6">
        <w:t>northern gannets</w:t>
      </w:r>
      <w:r w:rsidR="00E473C6">
        <w:t xml:space="preserve"> </w:t>
      </w:r>
      <w:r w:rsidR="00E473C6">
        <w:fldChar w:fldCharType="begin"/>
      </w:r>
      <w:r w:rsidR="00CC12C6">
        <w:instrText xml:space="preserve"> ADDIN ZOTERO_ITEM CSL_CITATION {"citationID":"a1gj4ph6aa6","properties":{"formattedCitation":"[5]","plainCitation":"[5]","noteIndex":0},"citationItems":[{"id":603,"uris":["http://zotero.org/users/3350645/items/R2D3Z67B"],"uri":["http://zotero.org/users/3350645/items/R2D3Z67B"],"itemData":{"id":603,"type":"article-journal","title":"Search and foraging behaviors from movement data: A comparison of methods","container-title":"Ecology and Evolution","page":"13-24","volume":"8","issue":"1","source":"Wiley Online Library","abstract":"Search behavior is often used as a proxy for foraging effort within studies of animal movement, despite it being only one part of the foraging process, which also includes prey capture. While methods for validating prey capture exist, many studies rely solely on behavioral annotation of animal movement data to identify search and infer prey capture attempts. However, the degree to which search correlates with prey capture is largely untested. This study applied seven behavioral annotation methods to identify search behavior from GPS tracks of northern gannets (Morus bassanus), and compared outputs to the occurrence of dives recorded by simultaneously deployed time–depth recorders. We tested how behavioral annotation methods vary in their ability to identify search behavior leading to dive events. There was considerable variation in the number of dives occurring within search areas across methods. Hidden Markov models proved to be the most successful, with 81% of all dives occurring within areas identified as search. k-Means clustering and first passage time had the highest rates of dives occurring outside identified search behavior. First passage time and hidden Markov models had the lowest rates of false positives, identifying fewer search areas with no dives. All behavioral annotation methods had advantages and drawbacks in terms of the complexity of analysis and ability to reflect prey capture events while minimizing the number of false positives and false negatives. We used these results, with consideration of analytical difficulty, to provide advice on the most appropriate methods for use where prey capture behavior is not available. This study highlights a need to critically assess and carefully choose a behavioral annotation method suitable for the research question being addressed, or resulting species management frameworks established.","DOI":"10.1002/ece3.3593","ISSN":"2045-7758","shortTitle":"Search and foraging behaviors from movement data","journalAbbreviation":"Ecol Evol","language":"en","author":[{"family":"Bennison","given":"Ashley"},{"family":"Bearhop","given":"Stuart"},{"family":"Bodey","given":"Thomas W."},{"family":"Votier","given":"Stephen C."},{"family":"Grecian","given":"W. James"},{"family":"Wakefield","given":"Ewan D."},{"family":"Hamer","given":"Keith C."},{"family":"Jessopp","given":"Mark"}],"issued":{"date-parts":[["2018"]]}}}],"schema":"https://github.com/citation-style-language/schema/raw/master/csl-citation.json"} </w:instrText>
      </w:r>
      <w:r w:rsidR="00E473C6">
        <w:fldChar w:fldCharType="separate"/>
      </w:r>
      <w:r w:rsidR="00CC12C6" w:rsidRPr="00CC12C6">
        <w:rPr>
          <w:rFonts w:ascii="Calibri" w:hAnsi="Calibri"/>
        </w:rPr>
        <w:t>[5]</w:t>
      </w:r>
      <w:r w:rsidR="00E473C6">
        <w:fldChar w:fldCharType="end"/>
      </w:r>
      <w:r w:rsidR="00E473C6">
        <w:t xml:space="preserve">. </w:t>
      </w:r>
      <w:r w:rsidR="00E473C6" w:rsidRPr="00E473C6">
        <w:t>The behavioural output is derived from two input variables; turning angle and speed, calculated between successive GPS relocations. EMbC produces four behavioural classification categories, obtained from the four combinations of high and low values for the two variables. As both low speed categories were categorised by speeds below 1.5 m/s we considered these together as ‘resting’ behaviour, based on previous work on gannet behavioural movements</w:t>
      </w:r>
      <w:r w:rsidR="00E473C6">
        <w:t xml:space="preserve"> </w:t>
      </w:r>
      <w:r w:rsidR="00E473C6">
        <w:fldChar w:fldCharType="begin"/>
      </w:r>
      <w:r w:rsidR="00CC12C6">
        <w:instrText xml:space="preserve"> ADDIN ZOTERO_ITEM CSL_CITATION {"citationID":"a2bh0uk84iq","properties":{"formattedCitation":"[6]","plainCitation":"[6]","noteIndex":0},"citationItems":[{"id":558,"uris":["http://zotero.org/users/3350645/items/VE5BFCU5"],"uri":["http://zotero.org/users/3350645/items/VE5BFCU5"],"itemData":{"id":558,"type":"article-journal","title":"Space Partitioning Without Territoriality in Gannets","container-title":"Science","page":"68-70","volume":"341","issue":"6141","source":"science.sciencemag.org","abstract":"This Is the Place\nBats, bees, seals, and many seabirds practice central-place foraging, leaving a central home site, such as a hive or a rookery, to forage in a specific territory. Such species also share the challenge of competing for local resources with individuals from separate colonies. Using satellite tags, Wakefield et al. (p. 68, published online 6 June; see the Perspective by Weimerskirch) followed over 180 northern gannets to determine potential drivers of foraging territory division. Boundaries among colonial territories arose as a result of competition with individuals from other territories. Individuals from the same colony appeared to share information about foraging sites, presumably contributing to the establishment and maintenance of specific, long-term colonial territories.\nColonial breeding is widespread among animals. Some, such as eusocial insects, may use agonistic behavior to partition available foraging habitat into mutually exclusive territories; others, such as breeding seabirds, do not. We found that northern gannets, satellite-tracked from 12 neighboring colonies, nonetheless forage in largely mutually exclusive areas and that these colony-specific home ranges are determined by density-dependent competition. This segregation may be enhanced by individual-level public information transfer, leading to cultural evolution and divergence among colonies.\nGannets establish foraging territory boundaries in colonies through local competition and information exchange. [Also see Perspective by Weimerskirch]\nGannets establish foraging territory boundaries in colonies through local competition and information exchange. [Also see Perspective by Weimerskirch]","DOI":"10.1126/science.1236077","ISSN":"0036-8075, 1095-9203","note":"PMID: 23744776","language":"en","author":[{"family":"Wakefield","given":"Ewan D."},{"family":"Bodey","given":"Thomas W."},{"family":"Bearhop","given":"Stuart"},{"family":"Blackburn","given":"Jez"},{"family":"Colhoun","given":"Kendrew"},{"family":"Davies","given":"Rachel"},{"family":"Dwyer","given":"Ross G."},{"family":"Green","given":"Jonathan A."},{"family":"Grémillet","given":"David"},{"family":"Jackson","given":"Andrew L."},{"family":"Jessopp","given":"Mark J."},{"family":"Kane","given":"Adam"},{"family":"Langston","given":"Rowena H. W."},{"family":"Lescroël","given":"Amélie"},{"family":"Murray","given":"Stuart"},{"family":"Nuz","given":"Mélanie Le"},{"family":"Patrick","given":"Samantha C."},{"family":"Péron","given":"Clara"},{"family":"Soanes","given":"Louise M."},{"family":"Wanless","given":"Sarah"},{"family":"Votier","given":"Stephen C."},{"family":"Hamer","given":"Keith C."}],"issued":{"date-parts":[["2013",7,5]]}}}],"schema":"https://github.com/citation-style-language/schema/raw/master/csl-citation.json"} </w:instrText>
      </w:r>
      <w:r w:rsidR="00E473C6">
        <w:fldChar w:fldCharType="separate"/>
      </w:r>
      <w:r w:rsidR="00CC12C6" w:rsidRPr="00CC12C6">
        <w:rPr>
          <w:rFonts w:ascii="Calibri" w:hAnsi="Calibri"/>
        </w:rPr>
        <w:t>[6]</w:t>
      </w:r>
      <w:r w:rsidR="00E473C6">
        <w:fldChar w:fldCharType="end"/>
      </w:r>
      <w:r w:rsidR="00E473C6">
        <w:t xml:space="preserve">. </w:t>
      </w:r>
      <w:r w:rsidR="00E473C6" w:rsidRPr="00E473C6">
        <w:t>We considered high speed and low turning, indicating fast straight flight, to be ‘commuting behaviour’, while high speed and high turning was taken to represent ‘foraging behaviours’</w:t>
      </w:r>
      <w:r w:rsidR="000B2102">
        <w:t xml:space="preserve"> (supplemental table 1)</w:t>
      </w:r>
      <w:r w:rsidR="00E473C6" w:rsidRPr="00E473C6">
        <w:t xml:space="preserve">. EMbC analysis was conducted on all complete trips simultaneously using the R package </w:t>
      </w:r>
      <w:proofErr w:type="spellStart"/>
      <w:r w:rsidR="00E473C6" w:rsidRPr="00E473C6">
        <w:t>EMbC</w:t>
      </w:r>
      <w:proofErr w:type="spellEnd"/>
      <w:r w:rsidR="00E473C6" w:rsidRPr="00E473C6">
        <w:t xml:space="preserve"> v2.0.0</w:t>
      </w:r>
      <w:r w:rsidR="00E473C6">
        <w:t xml:space="preserve"> </w:t>
      </w:r>
      <w:r w:rsidR="00E473C6">
        <w:fldChar w:fldCharType="begin"/>
      </w:r>
      <w:r w:rsidR="00CC12C6">
        <w:instrText xml:space="preserve"> ADDIN ZOTERO_ITEM CSL_CITATION {"citationID":"a262p5pc6h3","properties":{"formattedCitation":"[3]","plainCitation":"[3]","noteIndex":0},"citationItems":[{"id":506,"uris":["http://zotero.org/users/3350645/items/S6DXN9CB"],"uri":["http://zotero.org/users/3350645/items/S6DXN9CB"],"itemData":{"id":506,"type":"article-journal","title":"Expectation-maximization binary clustering for behavioural annotation","container-title":"PLOS ONE","page":"e0151984","volume":"11","issue":"3","source":"PLoS Journals","abstract":"The growing capacity to process and store animal tracks has spurred the development of new methods to segment animal trajectories into elementary units of movement. Key challenges for movement trajectory segmentation are to (i) minimize the need of supervision, (ii) reduce computational costs, (iii) minimize the need of prior assumptions (e.g. simple parametrizations), and (iv) capture biologically meaningful semantics, useful across a broad range of species. We introduce the Expectation-Maximization binary Clustering (EMbC), a general purpose, unsupervised approach to multivariate data clustering. The EMbC is a variant of the Expectation-Maximization Clustering (EMC), a clustering algorithm based on the maximum likelihood estimation of a Gaussian mixture model. This is an iterative algorithm with a closed form step solution and hence a reasonable computational cost. The method looks for a good compromise between statistical soundness and ease and generality of use (by minimizing prior assumptions and favouring the semantic interpretation of the final clustering). Here we focus on the suitability of the EMbC algorithm for behavioural annotation of movement data. We show and discuss the EMbC outputs in both simulated trajectories and empirical movement trajectories including different species and different tracking methodologies. We use synthetic trajectories to assess the performance of EMbC compared to classic EMC and Hidden Markov Models. Empirical trajectories allow us to explore the robustness of the EMbC to data loss and data inaccuracies, and assess the relationship between EMbC output and expert label assignments. Additionally, we suggest a smoothing procedure to account for temporal correlations among labels, and a proper visualization of the output for movement trajectories. Our algorithm is available as an R-package with a set of complementary functions to ease the analysis.","DOI":"10.1371/journal.pone.0151984","ISSN":"1932-6203","journalAbbreviation":"PLOS ONE","author":[{"family":"Garriga","given":"Joan"},{"family":"Palmer","given":"John R. B."},{"family":"Oltra","given":"Aitana"},{"family":"Bartumeus","given":"Frederic"}],"issued":{"date-parts":[["2016",3,22]]}}}],"schema":"https://github.com/citation-style-language/schema/raw/master/csl-citation.json"} </w:instrText>
      </w:r>
      <w:r w:rsidR="00E473C6">
        <w:fldChar w:fldCharType="separate"/>
      </w:r>
      <w:r w:rsidR="00CC12C6" w:rsidRPr="00CC12C6">
        <w:rPr>
          <w:rFonts w:ascii="Calibri" w:hAnsi="Calibri"/>
        </w:rPr>
        <w:t>[3]</w:t>
      </w:r>
      <w:r w:rsidR="00E473C6">
        <w:fldChar w:fldCharType="end"/>
      </w:r>
      <w:r w:rsidR="00E473C6">
        <w:t xml:space="preserve">, </w:t>
      </w:r>
      <w:r w:rsidR="00E473C6" w:rsidRPr="00E473C6">
        <w:t xml:space="preserve">and a built in smoother </w:t>
      </w:r>
      <w:r w:rsidR="00F67A60">
        <w:t xml:space="preserve">function </w:t>
      </w:r>
      <w:r w:rsidR="00E473C6" w:rsidRPr="00E473C6">
        <w:t>was applied to take into account temporal association in behavioural states.</w:t>
      </w:r>
    </w:p>
    <w:p w14:paraId="1965E862" w14:textId="1C7BC3B7" w:rsidR="00FC1CAA" w:rsidRDefault="00FC1CAA" w:rsidP="00E81236">
      <w:pPr>
        <w:spacing w:line="480" w:lineRule="auto"/>
      </w:pPr>
      <w:r>
        <w:lastRenderedPageBreak/>
        <w:t>Supplemental table 1: Minimum and maximum speed and turning angle for each behavioural state</w:t>
      </w:r>
      <w:r w:rsidR="0065305E">
        <w:t xml:space="preserve"> classification</w:t>
      </w:r>
      <w:r>
        <w:t xml:space="preserve"> </w:t>
      </w:r>
      <w:r w:rsidR="0065305E">
        <w:t xml:space="preserve">using </w:t>
      </w:r>
      <w:proofErr w:type="spellStart"/>
      <w:r>
        <w:t>EMbC</w:t>
      </w:r>
      <w:proofErr w:type="spellEnd"/>
      <w:r>
        <w:t xml:space="preserve">. Two states with speeds below 3 km/h where merged into a single state termed ‘resting’.  </w:t>
      </w:r>
    </w:p>
    <w:tbl>
      <w:tblPr>
        <w:tblW w:w="9356" w:type="dxa"/>
        <w:tblInd w:w="108" w:type="dxa"/>
        <w:tblLook w:val="04A0" w:firstRow="1" w:lastRow="0" w:firstColumn="1" w:lastColumn="0" w:noHBand="0" w:noVBand="1"/>
      </w:tblPr>
      <w:tblGrid>
        <w:gridCol w:w="2080"/>
        <w:gridCol w:w="1920"/>
        <w:gridCol w:w="1954"/>
        <w:gridCol w:w="1701"/>
        <w:gridCol w:w="1701"/>
      </w:tblGrid>
      <w:tr w:rsidR="00FC1CAA" w:rsidRPr="000B2102" w14:paraId="46DB5F3E" w14:textId="77777777" w:rsidTr="00FC1CAA">
        <w:trPr>
          <w:trHeight w:val="315"/>
        </w:trPr>
        <w:tc>
          <w:tcPr>
            <w:tcW w:w="2080" w:type="dxa"/>
            <w:tcBorders>
              <w:top w:val="nil"/>
              <w:left w:val="nil"/>
              <w:bottom w:val="single" w:sz="8" w:space="0" w:color="auto"/>
              <w:right w:val="nil"/>
            </w:tcBorders>
            <w:shd w:val="clear" w:color="auto" w:fill="auto"/>
            <w:noWrap/>
            <w:vAlign w:val="bottom"/>
            <w:hideMark/>
          </w:tcPr>
          <w:p w14:paraId="06E853BA" w14:textId="77777777" w:rsidR="000B2102" w:rsidRPr="000B2102" w:rsidRDefault="000B2102" w:rsidP="000B2102">
            <w:pPr>
              <w:spacing w:after="0" w:line="240" w:lineRule="auto"/>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 xml:space="preserve">Behaviour </w:t>
            </w:r>
          </w:p>
        </w:tc>
        <w:tc>
          <w:tcPr>
            <w:tcW w:w="1920" w:type="dxa"/>
            <w:tcBorders>
              <w:top w:val="nil"/>
              <w:left w:val="nil"/>
              <w:bottom w:val="single" w:sz="8" w:space="0" w:color="auto"/>
              <w:right w:val="nil"/>
            </w:tcBorders>
            <w:shd w:val="clear" w:color="auto" w:fill="auto"/>
            <w:noWrap/>
            <w:vAlign w:val="bottom"/>
            <w:hideMark/>
          </w:tcPr>
          <w:p w14:paraId="19E0AD9C" w14:textId="77777777" w:rsidR="000B2102" w:rsidRPr="000B2102" w:rsidRDefault="000B2102" w:rsidP="000B2102">
            <w:pPr>
              <w:spacing w:after="0" w:line="240" w:lineRule="auto"/>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Min speed (km/h)</w:t>
            </w:r>
          </w:p>
        </w:tc>
        <w:tc>
          <w:tcPr>
            <w:tcW w:w="1954" w:type="dxa"/>
            <w:tcBorders>
              <w:top w:val="nil"/>
              <w:left w:val="nil"/>
              <w:bottom w:val="single" w:sz="8" w:space="0" w:color="auto"/>
              <w:right w:val="nil"/>
            </w:tcBorders>
            <w:shd w:val="clear" w:color="auto" w:fill="auto"/>
            <w:noWrap/>
            <w:vAlign w:val="bottom"/>
            <w:hideMark/>
          </w:tcPr>
          <w:p w14:paraId="5B71057F" w14:textId="77777777" w:rsidR="000B2102" w:rsidRPr="000B2102" w:rsidRDefault="000B2102" w:rsidP="000B2102">
            <w:pPr>
              <w:spacing w:after="0" w:line="240" w:lineRule="auto"/>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Max speed (km/h)</w:t>
            </w:r>
          </w:p>
        </w:tc>
        <w:tc>
          <w:tcPr>
            <w:tcW w:w="1701" w:type="dxa"/>
            <w:tcBorders>
              <w:top w:val="nil"/>
              <w:left w:val="nil"/>
              <w:bottom w:val="single" w:sz="8" w:space="0" w:color="auto"/>
              <w:right w:val="nil"/>
            </w:tcBorders>
            <w:shd w:val="clear" w:color="auto" w:fill="auto"/>
            <w:noWrap/>
            <w:vAlign w:val="bottom"/>
            <w:hideMark/>
          </w:tcPr>
          <w:p w14:paraId="19ECD273" w14:textId="530FFF1F" w:rsidR="000B2102" w:rsidRPr="000B2102" w:rsidRDefault="000B2102" w:rsidP="000B2102">
            <w:pPr>
              <w:spacing w:after="0" w:line="240" w:lineRule="auto"/>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Min turn (rad)</w:t>
            </w:r>
          </w:p>
        </w:tc>
        <w:tc>
          <w:tcPr>
            <w:tcW w:w="1701" w:type="dxa"/>
            <w:tcBorders>
              <w:top w:val="nil"/>
              <w:left w:val="nil"/>
              <w:bottom w:val="single" w:sz="8" w:space="0" w:color="auto"/>
              <w:right w:val="nil"/>
            </w:tcBorders>
            <w:shd w:val="clear" w:color="auto" w:fill="auto"/>
            <w:noWrap/>
            <w:vAlign w:val="bottom"/>
            <w:hideMark/>
          </w:tcPr>
          <w:p w14:paraId="2D523C2D" w14:textId="27BB3895" w:rsidR="000B2102" w:rsidRPr="000B2102" w:rsidRDefault="000B2102" w:rsidP="000B2102">
            <w:pPr>
              <w:spacing w:after="0" w:line="240" w:lineRule="auto"/>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Max turn (rad)</w:t>
            </w:r>
          </w:p>
        </w:tc>
      </w:tr>
      <w:tr w:rsidR="00FC1CAA" w:rsidRPr="000B2102" w14:paraId="6A3D46BD" w14:textId="77777777" w:rsidTr="00FC1CAA">
        <w:trPr>
          <w:trHeight w:val="300"/>
        </w:trPr>
        <w:tc>
          <w:tcPr>
            <w:tcW w:w="2080" w:type="dxa"/>
            <w:tcBorders>
              <w:top w:val="nil"/>
              <w:left w:val="nil"/>
              <w:bottom w:val="nil"/>
              <w:right w:val="nil"/>
            </w:tcBorders>
            <w:shd w:val="clear" w:color="auto" w:fill="auto"/>
            <w:noWrap/>
            <w:vAlign w:val="bottom"/>
            <w:hideMark/>
          </w:tcPr>
          <w:p w14:paraId="68E19FA5" w14:textId="77777777" w:rsidR="000B2102" w:rsidRPr="000B2102" w:rsidRDefault="000B2102" w:rsidP="000B2102">
            <w:pPr>
              <w:spacing w:after="0" w:line="240" w:lineRule="auto"/>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Resting</w:t>
            </w:r>
          </w:p>
        </w:tc>
        <w:tc>
          <w:tcPr>
            <w:tcW w:w="1920" w:type="dxa"/>
            <w:tcBorders>
              <w:top w:val="nil"/>
              <w:left w:val="nil"/>
              <w:bottom w:val="nil"/>
              <w:right w:val="nil"/>
            </w:tcBorders>
            <w:shd w:val="clear" w:color="auto" w:fill="auto"/>
            <w:noWrap/>
            <w:vAlign w:val="bottom"/>
            <w:hideMark/>
          </w:tcPr>
          <w:p w14:paraId="32B659C7" w14:textId="77777777" w:rsidR="000B2102" w:rsidRPr="000B2102" w:rsidRDefault="000B2102" w:rsidP="000B2102">
            <w:pPr>
              <w:spacing w:after="0" w:line="240" w:lineRule="auto"/>
              <w:jc w:val="right"/>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0</w:t>
            </w:r>
          </w:p>
        </w:tc>
        <w:tc>
          <w:tcPr>
            <w:tcW w:w="1954" w:type="dxa"/>
            <w:tcBorders>
              <w:top w:val="nil"/>
              <w:left w:val="nil"/>
              <w:bottom w:val="nil"/>
              <w:right w:val="nil"/>
            </w:tcBorders>
            <w:shd w:val="clear" w:color="auto" w:fill="auto"/>
            <w:noWrap/>
            <w:vAlign w:val="bottom"/>
            <w:hideMark/>
          </w:tcPr>
          <w:p w14:paraId="189F0328" w14:textId="77777777" w:rsidR="000B2102" w:rsidRPr="000B2102" w:rsidRDefault="000B2102" w:rsidP="000B2102">
            <w:pPr>
              <w:spacing w:after="0" w:line="240" w:lineRule="auto"/>
              <w:jc w:val="right"/>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3</w:t>
            </w:r>
          </w:p>
        </w:tc>
        <w:tc>
          <w:tcPr>
            <w:tcW w:w="1701" w:type="dxa"/>
            <w:tcBorders>
              <w:top w:val="nil"/>
              <w:left w:val="nil"/>
              <w:bottom w:val="nil"/>
              <w:right w:val="nil"/>
            </w:tcBorders>
            <w:shd w:val="clear" w:color="auto" w:fill="auto"/>
            <w:noWrap/>
            <w:vAlign w:val="bottom"/>
            <w:hideMark/>
          </w:tcPr>
          <w:p w14:paraId="2748E389" w14:textId="77777777" w:rsidR="000B2102" w:rsidRPr="000B2102" w:rsidRDefault="000B2102" w:rsidP="000B2102">
            <w:pPr>
              <w:spacing w:after="0" w:line="240" w:lineRule="auto"/>
              <w:jc w:val="right"/>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0</w:t>
            </w:r>
          </w:p>
        </w:tc>
        <w:tc>
          <w:tcPr>
            <w:tcW w:w="1701" w:type="dxa"/>
            <w:tcBorders>
              <w:top w:val="nil"/>
              <w:left w:val="nil"/>
              <w:bottom w:val="nil"/>
              <w:right w:val="nil"/>
            </w:tcBorders>
            <w:shd w:val="clear" w:color="auto" w:fill="auto"/>
            <w:noWrap/>
            <w:vAlign w:val="bottom"/>
            <w:hideMark/>
          </w:tcPr>
          <w:p w14:paraId="324DB59E" w14:textId="77777777" w:rsidR="000B2102" w:rsidRPr="000B2102" w:rsidRDefault="000B2102" w:rsidP="000B2102">
            <w:pPr>
              <w:spacing w:after="0" w:line="240" w:lineRule="auto"/>
              <w:jc w:val="right"/>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3.14</w:t>
            </w:r>
          </w:p>
        </w:tc>
      </w:tr>
      <w:tr w:rsidR="00FC1CAA" w:rsidRPr="000B2102" w14:paraId="5C9582FC" w14:textId="77777777" w:rsidTr="00FC1CAA">
        <w:trPr>
          <w:trHeight w:val="300"/>
        </w:trPr>
        <w:tc>
          <w:tcPr>
            <w:tcW w:w="2080" w:type="dxa"/>
            <w:tcBorders>
              <w:top w:val="nil"/>
              <w:left w:val="nil"/>
              <w:right w:val="nil"/>
            </w:tcBorders>
            <w:shd w:val="clear" w:color="auto" w:fill="auto"/>
            <w:noWrap/>
            <w:vAlign w:val="bottom"/>
            <w:hideMark/>
          </w:tcPr>
          <w:p w14:paraId="4BCFA06B" w14:textId="77777777" w:rsidR="000B2102" w:rsidRPr="000B2102" w:rsidRDefault="000B2102" w:rsidP="000B2102">
            <w:pPr>
              <w:spacing w:after="0" w:line="240" w:lineRule="auto"/>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Commuting</w:t>
            </w:r>
          </w:p>
        </w:tc>
        <w:tc>
          <w:tcPr>
            <w:tcW w:w="1920" w:type="dxa"/>
            <w:tcBorders>
              <w:top w:val="nil"/>
              <w:left w:val="nil"/>
              <w:right w:val="nil"/>
            </w:tcBorders>
            <w:shd w:val="clear" w:color="auto" w:fill="auto"/>
            <w:noWrap/>
            <w:vAlign w:val="bottom"/>
            <w:hideMark/>
          </w:tcPr>
          <w:p w14:paraId="774A07F4" w14:textId="77777777" w:rsidR="000B2102" w:rsidRPr="000B2102" w:rsidRDefault="000B2102" w:rsidP="000B2102">
            <w:pPr>
              <w:spacing w:after="0" w:line="240" w:lineRule="auto"/>
              <w:jc w:val="right"/>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3</w:t>
            </w:r>
          </w:p>
        </w:tc>
        <w:tc>
          <w:tcPr>
            <w:tcW w:w="1954" w:type="dxa"/>
            <w:tcBorders>
              <w:top w:val="nil"/>
              <w:left w:val="nil"/>
              <w:right w:val="nil"/>
            </w:tcBorders>
            <w:shd w:val="clear" w:color="auto" w:fill="auto"/>
            <w:noWrap/>
            <w:vAlign w:val="bottom"/>
            <w:hideMark/>
          </w:tcPr>
          <w:p w14:paraId="6E2008BC" w14:textId="77777777" w:rsidR="000B2102" w:rsidRPr="000B2102" w:rsidRDefault="000B2102" w:rsidP="000B2102">
            <w:pPr>
              <w:spacing w:after="0" w:line="240" w:lineRule="auto"/>
              <w:jc w:val="right"/>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120</w:t>
            </w:r>
          </w:p>
        </w:tc>
        <w:tc>
          <w:tcPr>
            <w:tcW w:w="1701" w:type="dxa"/>
            <w:tcBorders>
              <w:top w:val="nil"/>
              <w:left w:val="nil"/>
              <w:right w:val="nil"/>
            </w:tcBorders>
            <w:shd w:val="clear" w:color="auto" w:fill="auto"/>
            <w:noWrap/>
            <w:vAlign w:val="bottom"/>
            <w:hideMark/>
          </w:tcPr>
          <w:p w14:paraId="5DFC001E" w14:textId="77777777" w:rsidR="000B2102" w:rsidRPr="000B2102" w:rsidRDefault="000B2102" w:rsidP="000B2102">
            <w:pPr>
              <w:spacing w:after="0" w:line="240" w:lineRule="auto"/>
              <w:jc w:val="right"/>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0</w:t>
            </w:r>
          </w:p>
        </w:tc>
        <w:tc>
          <w:tcPr>
            <w:tcW w:w="1701" w:type="dxa"/>
            <w:tcBorders>
              <w:top w:val="nil"/>
              <w:left w:val="nil"/>
              <w:right w:val="nil"/>
            </w:tcBorders>
            <w:shd w:val="clear" w:color="auto" w:fill="auto"/>
            <w:noWrap/>
            <w:vAlign w:val="bottom"/>
            <w:hideMark/>
          </w:tcPr>
          <w:p w14:paraId="279D676D" w14:textId="77777777" w:rsidR="000B2102" w:rsidRPr="000B2102" w:rsidRDefault="000B2102" w:rsidP="000B2102">
            <w:pPr>
              <w:spacing w:after="0" w:line="240" w:lineRule="auto"/>
              <w:jc w:val="right"/>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0.61</w:t>
            </w:r>
          </w:p>
        </w:tc>
      </w:tr>
      <w:tr w:rsidR="00FC1CAA" w:rsidRPr="000B2102" w14:paraId="43BB2CD7" w14:textId="77777777" w:rsidTr="00FC1CAA">
        <w:trPr>
          <w:trHeight w:val="300"/>
        </w:trPr>
        <w:tc>
          <w:tcPr>
            <w:tcW w:w="2080" w:type="dxa"/>
            <w:tcBorders>
              <w:top w:val="nil"/>
              <w:left w:val="nil"/>
              <w:bottom w:val="single" w:sz="4" w:space="0" w:color="auto"/>
              <w:right w:val="nil"/>
            </w:tcBorders>
            <w:shd w:val="clear" w:color="auto" w:fill="auto"/>
            <w:noWrap/>
            <w:vAlign w:val="bottom"/>
            <w:hideMark/>
          </w:tcPr>
          <w:p w14:paraId="6ECED4D6" w14:textId="77777777" w:rsidR="000B2102" w:rsidRPr="000B2102" w:rsidRDefault="000B2102" w:rsidP="000B2102">
            <w:pPr>
              <w:spacing w:after="0" w:line="240" w:lineRule="auto"/>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Foraging</w:t>
            </w:r>
          </w:p>
        </w:tc>
        <w:tc>
          <w:tcPr>
            <w:tcW w:w="1920" w:type="dxa"/>
            <w:tcBorders>
              <w:top w:val="nil"/>
              <w:left w:val="nil"/>
              <w:bottom w:val="single" w:sz="4" w:space="0" w:color="auto"/>
              <w:right w:val="nil"/>
            </w:tcBorders>
            <w:shd w:val="clear" w:color="auto" w:fill="auto"/>
            <w:noWrap/>
            <w:vAlign w:val="bottom"/>
            <w:hideMark/>
          </w:tcPr>
          <w:p w14:paraId="0FC80709" w14:textId="77777777" w:rsidR="000B2102" w:rsidRPr="000B2102" w:rsidRDefault="000B2102" w:rsidP="000B2102">
            <w:pPr>
              <w:spacing w:after="0" w:line="240" w:lineRule="auto"/>
              <w:jc w:val="right"/>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1.7</w:t>
            </w:r>
          </w:p>
        </w:tc>
        <w:tc>
          <w:tcPr>
            <w:tcW w:w="1954" w:type="dxa"/>
            <w:tcBorders>
              <w:top w:val="nil"/>
              <w:left w:val="nil"/>
              <w:bottom w:val="single" w:sz="4" w:space="0" w:color="auto"/>
              <w:right w:val="nil"/>
            </w:tcBorders>
            <w:shd w:val="clear" w:color="auto" w:fill="auto"/>
            <w:noWrap/>
            <w:vAlign w:val="bottom"/>
            <w:hideMark/>
          </w:tcPr>
          <w:p w14:paraId="07C2B053" w14:textId="77777777" w:rsidR="000B2102" w:rsidRPr="000B2102" w:rsidRDefault="000B2102" w:rsidP="000B2102">
            <w:pPr>
              <w:spacing w:after="0" w:line="240" w:lineRule="auto"/>
              <w:jc w:val="right"/>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120</w:t>
            </w:r>
          </w:p>
        </w:tc>
        <w:tc>
          <w:tcPr>
            <w:tcW w:w="1701" w:type="dxa"/>
            <w:tcBorders>
              <w:top w:val="nil"/>
              <w:left w:val="nil"/>
              <w:bottom w:val="single" w:sz="4" w:space="0" w:color="auto"/>
              <w:right w:val="nil"/>
            </w:tcBorders>
            <w:shd w:val="clear" w:color="auto" w:fill="auto"/>
            <w:noWrap/>
            <w:vAlign w:val="bottom"/>
            <w:hideMark/>
          </w:tcPr>
          <w:p w14:paraId="52F321A4" w14:textId="77777777" w:rsidR="000B2102" w:rsidRPr="000B2102" w:rsidRDefault="000B2102" w:rsidP="000B2102">
            <w:pPr>
              <w:spacing w:after="0" w:line="240" w:lineRule="auto"/>
              <w:jc w:val="right"/>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0.61</w:t>
            </w:r>
          </w:p>
        </w:tc>
        <w:tc>
          <w:tcPr>
            <w:tcW w:w="1701" w:type="dxa"/>
            <w:tcBorders>
              <w:top w:val="nil"/>
              <w:left w:val="nil"/>
              <w:bottom w:val="single" w:sz="4" w:space="0" w:color="auto"/>
              <w:right w:val="nil"/>
            </w:tcBorders>
            <w:shd w:val="clear" w:color="auto" w:fill="auto"/>
            <w:noWrap/>
            <w:vAlign w:val="bottom"/>
            <w:hideMark/>
          </w:tcPr>
          <w:p w14:paraId="545E60FA" w14:textId="77777777" w:rsidR="000B2102" w:rsidRPr="000B2102" w:rsidRDefault="000B2102" w:rsidP="000B2102">
            <w:pPr>
              <w:spacing w:after="0" w:line="240" w:lineRule="auto"/>
              <w:jc w:val="right"/>
              <w:rPr>
                <w:rFonts w:ascii="Calibri" w:eastAsia="Times New Roman" w:hAnsi="Calibri" w:cs="Times New Roman"/>
                <w:color w:val="000000"/>
                <w:lang w:eastAsia="en-GB"/>
              </w:rPr>
            </w:pPr>
            <w:r w:rsidRPr="000B2102">
              <w:rPr>
                <w:rFonts w:ascii="Calibri" w:eastAsia="Times New Roman" w:hAnsi="Calibri" w:cs="Times New Roman"/>
                <w:color w:val="000000"/>
                <w:lang w:eastAsia="en-GB"/>
              </w:rPr>
              <w:t>3.14</w:t>
            </w:r>
          </w:p>
        </w:tc>
      </w:tr>
    </w:tbl>
    <w:p w14:paraId="30C739B5" w14:textId="77777777" w:rsidR="000B2102" w:rsidRDefault="000B2102" w:rsidP="00E81236">
      <w:pPr>
        <w:spacing w:line="480" w:lineRule="auto"/>
      </w:pPr>
    </w:p>
    <w:p w14:paraId="45D91545" w14:textId="3411E16B" w:rsidR="00E81236" w:rsidRDefault="00E81236" w:rsidP="00E81236">
      <w:pPr>
        <w:spacing w:line="480" w:lineRule="auto"/>
        <w:rPr>
          <w:i/>
        </w:rPr>
      </w:pPr>
      <w:r w:rsidRPr="00E81236">
        <w:rPr>
          <w:i/>
        </w:rPr>
        <w:t>Null models</w:t>
      </w:r>
    </w:p>
    <w:p w14:paraId="386A3C1A" w14:textId="666DEF30" w:rsidR="00E81236" w:rsidRPr="00E81236" w:rsidRDefault="00E81236" w:rsidP="00E81236">
      <w:pPr>
        <w:spacing w:line="480" w:lineRule="auto"/>
      </w:pPr>
      <w:r w:rsidRPr="00E81236">
        <w:t xml:space="preserve">To determine if the observed patterns of co-departing behaviour could be generated simply due to random departures of individuals, we compared our </w:t>
      </w:r>
      <w:r w:rsidR="0065305E">
        <w:t xml:space="preserve">observed data </w:t>
      </w:r>
      <w:r w:rsidRPr="00E81236">
        <w:t>to null models as follows. For each colony departure we generated 10</w:t>
      </w:r>
      <w:r w:rsidR="0040238B">
        <w:t>,</w:t>
      </w:r>
      <w:r w:rsidRPr="00E81236">
        <w:t xml:space="preserve">000 </w:t>
      </w:r>
      <w:r w:rsidR="00615B18" w:rsidRPr="00E81236">
        <w:t>permutat</w:t>
      </w:r>
      <w:r w:rsidR="00615B18">
        <w:t>ions of each departure time</w:t>
      </w:r>
      <w:r w:rsidRPr="00E81236">
        <w:t xml:space="preserve">, by swapping </w:t>
      </w:r>
      <w:r w:rsidR="0069090F">
        <w:t xml:space="preserve">each </w:t>
      </w:r>
      <w:r w:rsidRPr="00E81236">
        <w:t xml:space="preserve">time of departure with randomly drawn departures times from the complete dataset. This allowed each individual to maintain the same number of departures on each day across the study period, but redistributed these events to different times of the day. This method also constrained all permutated departures to observed departure times, thus controlling for </w:t>
      </w:r>
      <w:r w:rsidR="0062115A">
        <w:t xml:space="preserve">the </w:t>
      </w:r>
      <w:r w:rsidRPr="00E81236">
        <w:t xml:space="preserve">diurnal </w:t>
      </w:r>
      <w:r w:rsidR="0065305E">
        <w:t xml:space="preserve">activity </w:t>
      </w:r>
      <w:r w:rsidRPr="00E81236">
        <w:t xml:space="preserve">pattern exhibited by gannets </w:t>
      </w:r>
      <w:r w:rsidR="00D60C94">
        <w:fldChar w:fldCharType="begin"/>
      </w:r>
      <w:r w:rsidR="00CC12C6">
        <w:instrText xml:space="preserve"> ADDIN ZOTERO_ITEM CSL_CITATION {"citationID":"a17egbvd63r","properties":{"formattedCitation":"[7]","plainCitation":"[7]","noteIndex":0},"citationItems":[{"id":771,"uris":["http://zotero.org/users/3350645/items/ZDTPXY9P"],"uri":["http://zotero.org/users/3350645/items/ZDTPXY9P"],"itemData":{"id":771,"type":"article-journal","title":"Seabirds as samplers of the marine environment – a case study of northern gannets","container-title":"Ocean Sci.","page":"337-347","volume":"13","issue":"2","source":"Copernicus Online Journals","abstract":"Understanding distribution patterns, activities, and foraging behaviours of seabirds requires interdisciplinary approaches. In this paper, we provide examples of the data and analytical procedures from a new study in the German Bight (North Sea) tracking northern gannets (Morus bassanus) at their breeding colony on the island of Heligoland. Individual adult northern gannets were equipped with different types of data loggers for several weeks, measuring geographic positions and other parameters mostly at 3–5 min intervals. Birds flew in all directions from the island to search for food, but most flights targeted areas to the (N)NW (north–northwest) of Heligoland. Foraging trips were remarkably variable in duration and distance; most trips lasted 1–15 h and extended from 3 to 80 km from the breeding colony on Heligoland. Dives of gannets were generally shallow, with more than half of the dives only reaching depths of 1–3 m. The maximum dive depth was 11.4 m. Gannets showed a clear diurnal rhythm in their diving activity, with dives being almost completely restricted to the daylight period. Most flight activity at sea occurred at an altitude between the sea surface and 40 m. Gannets mostly stayed away from the wind farms and passed around them much more frequently than flying through them. Detailed information on individual animals may provide important insights into processes that are not detectable at a community level.","DOI":"10.5194/os-13-337-2017","ISSN":"1812-0792","journalAbbreviation":"Ocean Sci.","author":[{"family":"Garthe","given":"S."},{"family":"Peschko","given":"V."},{"family":"Kubetzki","given":"U."},{"family":"Corman","given":"A.-M."}],"issued":{"date-parts":[["2017",4,25]]}}}],"schema":"https://github.com/citation-style-language/schema/raw/master/csl-citation.json"} </w:instrText>
      </w:r>
      <w:r w:rsidR="00D60C94">
        <w:fldChar w:fldCharType="separate"/>
      </w:r>
      <w:r w:rsidR="00CC12C6" w:rsidRPr="00CC12C6">
        <w:rPr>
          <w:rFonts w:ascii="Calibri" w:hAnsi="Calibri"/>
        </w:rPr>
        <w:t>[7]</w:t>
      </w:r>
      <w:r w:rsidR="00D60C94">
        <w:fldChar w:fldCharType="end"/>
      </w:r>
      <w:r w:rsidRPr="00E81236">
        <w:t xml:space="preserve">. For each set of permutations we then identified the trips in which the permutated departure times were found to be ‘co-occurring’ following the same procedure used on the observed data. We determined significance (p-values) by calculating the proportion of times the observed proportion of co-departing trips was found to be more extreme than the results obtained from the permutated datasets. </w:t>
      </w:r>
    </w:p>
    <w:p w14:paraId="08DCA976" w14:textId="227DE1E0" w:rsidR="00247807" w:rsidRDefault="00E81236" w:rsidP="00E81236">
      <w:pPr>
        <w:spacing w:line="480" w:lineRule="auto"/>
        <w:rPr>
          <w:i/>
        </w:rPr>
      </w:pPr>
      <w:r w:rsidRPr="00E81236">
        <w:t>Similarly, to determine if the overlap in first foraging patches was driven purely by chance, we compared our results to null models constructed by following a similar procedure. The timing of each foraging patch was permutated 1</w:t>
      </w:r>
      <w:r w:rsidR="0040238B">
        <w:t>,</w:t>
      </w:r>
      <w:r w:rsidRPr="00E81236">
        <w:t xml:space="preserve">000 times </w:t>
      </w:r>
      <w:r w:rsidR="00F4427C">
        <w:t xml:space="preserve">by swapping the observed foraging time with a </w:t>
      </w:r>
      <w:r w:rsidRPr="00E81236">
        <w:t xml:space="preserve">randomly drawn foraging </w:t>
      </w:r>
      <w:r w:rsidR="00F4427C">
        <w:t xml:space="preserve">patch </w:t>
      </w:r>
      <w:r w:rsidRPr="00E81236">
        <w:t>time from within the dataset as described above</w:t>
      </w:r>
      <w:r w:rsidR="00F4427C">
        <w:t xml:space="preserve">. We </w:t>
      </w:r>
      <w:r w:rsidRPr="00E81236">
        <w:t xml:space="preserve">then recalculated the temporal and spatial overlap for each permutated foraging patch following the </w:t>
      </w:r>
      <w:r w:rsidRPr="00E81236">
        <w:lastRenderedPageBreak/>
        <w:t>procedure used on the observed data. Significance was again calculated as the proportion of times the observed overlap was found to be more extreme than the results obtained from the permutated datasets.</w:t>
      </w:r>
    </w:p>
    <w:p w14:paraId="6E9836E9" w14:textId="08B28CA5" w:rsidR="00247807" w:rsidRDefault="00D479D1" w:rsidP="00E81236">
      <w:pPr>
        <w:spacing w:line="480" w:lineRule="auto"/>
        <w:rPr>
          <w:i/>
        </w:rPr>
      </w:pPr>
      <w:r>
        <w:rPr>
          <w:i/>
        </w:rPr>
        <w:t>Effect of</w:t>
      </w:r>
      <w:r w:rsidR="00247807">
        <w:rPr>
          <w:i/>
        </w:rPr>
        <w:t xml:space="preserve"> untagged individuals </w:t>
      </w:r>
    </w:p>
    <w:p w14:paraId="302BE515" w14:textId="6FAB613A" w:rsidR="00623C92" w:rsidRDefault="00247807" w:rsidP="00E81236">
      <w:pPr>
        <w:spacing w:line="480" w:lineRule="auto"/>
      </w:pPr>
      <w:r>
        <w:t>To determine the impact of untagged individuals in the colony</w:t>
      </w:r>
      <w:r w:rsidR="005807CA">
        <w:t xml:space="preserve"> on our estimates of co-departure and first patch overlap</w:t>
      </w:r>
      <w:r>
        <w:t xml:space="preserve">, we resampled our data set at varying scales (10 – 80 individuals) and re-calculated overlap in colony departures and patch overlap as described previously. For each subsample, we drew the specified number of individuals from the whole data-set, and we repeated each sample 10 times </w:t>
      </w:r>
      <w:r w:rsidR="005904F4">
        <w:t>(supplemental figure 2).</w:t>
      </w:r>
    </w:p>
    <w:p w14:paraId="65192A6E" w14:textId="117D9C99" w:rsidR="00420C6A" w:rsidRDefault="00420C6A" w:rsidP="00E81236">
      <w:pPr>
        <w:spacing w:line="480" w:lineRule="auto"/>
        <w:rPr>
          <w:b/>
        </w:rPr>
      </w:pPr>
      <w:r w:rsidRPr="00420C6A">
        <w:rPr>
          <w:b/>
        </w:rPr>
        <w:t>Figures</w:t>
      </w:r>
    </w:p>
    <w:p w14:paraId="2D006B2B" w14:textId="3E633CA9" w:rsidR="007C03CF" w:rsidRPr="00420C6A" w:rsidRDefault="007C03CF" w:rsidP="00E81236">
      <w:pPr>
        <w:spacing w:line="480" w:lineRule="auto"/>
        <w:rPr>
          <w:b/>
        </w:rPr>
      </w:pPr>
      <w:r>
        <w:rPr>
          <w:b/>
          <w:noProof/>
          <w:lang w:val="en-IN" w:eastAsia="en-IN"/>
        </w:rPr>
        <w:drawing>
          <wp:inline distT="0" distB="0" distL="0" distR="0" wp14:anchorId="001AFD22" wp14:editId="44553D99">
            <wp:extent cx="6105525" cy="302268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l_letters_supplemental_sensitivity_dashgrey.tiff"/>
                    <pic:cNvPicPr/>
                  </pic:nvPicPr>
                  <pic:blipFill rotWithShape="1">
                    <a:blip r:embed="rId4" cstate="print">
                      <a:extLst>
                        <a:ext uri="{28A0092B-C50C-407E-A947-70E740481C1C}">
                          <a14:useLocalDpi xmlns:a14="http://schemas.microsoft.com/office/drawing/2010/main" val="0"/>
                        </a:ext>
                      </a:extLst>
                    </a:blip>
                    <a:srcRect l="3192" t="16657" r="5532" b="15557"/>
                    <a:stretch/>
                  </pic:blipFill>
                  <pic:spPr bwMode="auto">
                    <a:xfrm>
                      <a:off x="0" y="0"/>
                      <a:ext cx="6108805" cy="3024309"/>
                    </a:xfrm>
                    <a:prstGeom prst="rect">
                      <a:avLst/>
                    </a:prstGeom>
                    <a:ln>
                      <a:noFill/>
                    </a:ln>
                    <a:extLst>
                      <a:ext uri="{53640926-AAD7-44D8-BBD7-CCE9431645EC}">
                        <a14:shadowObscured xmlns:a14="http://schemas.microsoft.com/office/drawing/2010/main"/>
                      </a:ext>
                    </a:extLst>
                  </pic:spPr>
                </pic:pic>
              </a:graphicData>
            </a:graphic>
          </wp:inline>
        </w:drawing>
      </w:r>
    </w:p>
    <w:p w14:paraId="6B4A1A1D" w14:textId="34911833" w:rsidR="005904F4" w:rsidRPr="006A610B" w:rsidRDefault="005904F4" w:rsidP="00E81236">
      <w:pPr>
        <w:spacing w:line="480" w:lineRule="auto"/>
      </w:pPr>
      <w:r>
        <w:rPr>
          <w:b/>
        </w:rPr>
        <w:t xml:space="preserve">Supplemental Figure 1. </w:t>
      </w:r>
      <w:r w:rsidR="006A610B">
        <w:t xml:space="preserve">Distribution </w:t>
      </w:r>
      <w:r w:rsidR="0042657D">
        <w:t>obtained from</w:t>
      </w:r>
      <w:r w:rsidR="006A610B">
        <w:t xml:space="preserve"> 10 0000 permutations of the proportion of trips in which at least one pair of individuals co-departed within A) 1.5 minute B) 5 minute and C) 10 minute time </w:t>
      </w:r>
      <w:r w:rsidR="0065305E">
        <w:t xml:space="preserve">windows </w:t>
      </w:r>
      <w:r w:rsidR="006A610B">
        <w:t>compared with the observed proportion</w:t>
      </w:r>
      <w:r w:rsidR="0042657D">
        <w:t xml:space="preserve"> (indicated by the </w:t>
      </w:r>
      <w:r w:rsidR="007C03CF">
        <w:t xml:space="preserve">dashed </w:t>
      </w:r>
      <w:r w:rsidR="0042657D">
        <w:t>line)</w:t>
      </w:r>
      <w:r w:rsidR="006A610B">
        <w:t xml:space="preserve"> of co-departures </w:t>
      </w:r>
      <w:r w:rsidR="0042657D">
        <w:t>for each time-window respectively.</w:t>
      </w:r>
      <w:r w:rsidR="006A610B">
        <w:t xml:space="preserve"> </w:t>
      </w:r>
    </w:p>
    <w:p w14:paraId="2D01882F" w14:textId="45E054B0" w:rsidR="00E81236" w:rsidRDefault="000860AA" w:rsidP="00E81236">
      <w:pPr>
        <w:spacing w:line="480" w:lineRule="auto"/>
      </w:pPr>
      <w:r w:rsidRPr="000860AA">
        <w:rPr>
          <w:noProof/>
          <w:lang w:val="en-IN" w:eastAsia="en-IN"/>
        </w:rPr>
        <w:lastRenderedPageBreak/>
        <w:drawing>
          <wp:inline distT="0" distB="0" distL="0" distR="0" wp14:anchorId="0BB5A18D" wp14:editId="77E0F039">
            <wp:extent cx="6296460" cy="3819525"/>
            <wp:effectExtent l="0" t="0" r="9525" b="0"/>
            <wp:docPr id="1" name="Picture 1" descr="M:\Phd\Gannet Data\network\colony chapter\supplemental_fi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d\Gannet Data\network\colony chapter\supplemental_fig.tif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9008"/>
                    <a:stretch/>
                  </pic:blipFill>
                  <pic:spPr bwMode="auto">
                    <a:xfrm>
                      <a:off x="0" y="0"/>
                      <a:ext cx="6297750" cy="3820308"/>
                    </a:xfrm>
                    <a:prstGeom prst="rect">
                      <a:avLst/>
                    </a:prstGeom>
                    <a:noFill/>
                    <a:ln>
                      <a:noFill/>
                    </a:ln>
                    <a:extLst>
                      <a:ext uri="{53640926-AAD7-44D8-BBD7-CCE9431645EC}">
                        <a14:shadowObscured xmlns:a14="http://schemas.microsoft.com/office/drawing/2010/main"/>
                      </a:ext>
                    </a:extLst>
                  </pic:spPr>
                </pic:pic>
              </a:graphicData>
            </a:graphic>
          </wp:inline>
        </w:drawing>
      </w:r>
    </w:p>
    <w:p w14:paraId="0B6CA209" w14:textId="13EFA2ED" w:rsidR="000860AA" w:rsidRDefault="000860AA" w:rsidP="00E81236">
      <w:pPr>
        <w:spacing w:line="480" w:lineRule="auto"/>
      </w:pPr>
      <w:r>
        <w:rPr>
          <w:b/>
        </w:rPr>
        <w:t xml:space="preserve">Supplemental Figure </w:t>
      </w:r>
      <w:r w:rsidR="005904F4">
        <w:rPr>
          <w:b/>
        </w:rPr>
        <w:t>2</w:t>
      </w:r>
      <w:r>
        <w:rPr>
          <w:b/>
        </w:rPr>
        <w:t xml:space="preserve">. </w:t>
      </w:r>
      <w:r w:rsidR="00247807">
        <w:t>Mean ±</w:t>
      </w:r>
      <w:r w:rsidR="00D60C94">
        <w:t xml:space="preserve"> SE</w:t>
      </w:r>
      <w:r w:rsidR="00247807">
        <w:t xml:space="preserve"> of proportion of A) trips that co-depart from the colony and B) co-occurring first patches that overlap in space for each subsample of the data (10, 20, 30, 40, 50, 60, 70 and 80 individuals). Final point indicates</w:t>
      </w:r>
      <w:r w:rsidR="00D479D1">
        <w:t xml:space="preserve"> observed value for the</w:t>
      </w:r>
      <w:r w:rsidR="00247807">
        <w:t xml:space="preserve"> full data set (n = 85).   </w:t>
      </w:r>
    </w:p>
    <w:p w14:paraId="0DBF873D" w14:textId="07B3E0B1" w:rsidR="00D60C94" w:rsidRPr="00D60C94" w:rsidRDefault="00D60C94" w:rsidP="00E81236">
      <w:pPr>
        <w:spacing w:line="480" w:lineRule="auto"/>
        <w:rPr>
          <w:b/>
        </w:rPr>
      </w:pPr>
      <w:r w:rsidRPr="00D60C94">
        <w:rPr>
          <w:b/>
        </w:rPr>
        <w:t xml:space="preserve">References </w:t>
      </w:r>
    </w:p>
    <w:p w14:paraId="4859F9B6" w14:textId="77777777" w:rsidR="00CC12C6" w:rsidRPr="00CC12C6" w:rsidRDefault="00D60C94" w:rsidP="00CC12C6">
      <w:pPr>
        <w:pStyle w:val="Bibliography"/>
        <w:rPr>
          <w:rFonts w:ascii="Calibri" w:hAnsi="Calibri"/>
        </w:rPr>
      </w:pPr>
      <w:r>
        <w:fldChar w:fldCharType="begin"/>
      </w:r>
      <w:r>
        <w:instrText xml:space="preserve"> ADDIN ZOTERO_BIBL {"custom":[]} CSL_BIBLIOGRAPHY </w:instrText>
      </w:r>
      <w:r>
        <w:fldChar w:fldCharType="separate"/>
      </w:r>
      <w:r w:rsidR="00CC12C6" w:rsidRPr="00CC12C6">
        <w:rPr>
          <w:rFonts w:ascii="Calibri" w:hAnsi="Calibri"/>
        </w:rPr>
        <w:t>1.</w:t>
      </w:r>
      <w:r w:rsidR="00CC12C6" w:rsidRPr="00CC12C6">
        <w:rPr>
          <w:rFonts w:ascii="Calibri" w:hAnsi="Calibri"/>
        </w:rPr>
        <w:tab/>
        <w:t xml:space="preserve">Ropert-Coudert Y, Daunt F, Kato A, Ryan PG, Lewis S, Kobayashi K, Mori Y, Grémillet D, Wanless S. 2009 Underwater wingbeats extend depth and duration of plunge dives in northern gannets Morus bassanus. </w:t>
      </w:r>
      <w:r w:rsidR="00CC12C6" w:rsidRPr="00CC12C6">
        <w:rPr>
          <w:rFonts w:ascii="Calibri" w:hAnsi="Calibri"/>
          <w:i/>
          <w:iCs/>
        </w:rPr>
        <w:t>‎J Avian Biol</w:t>
      </w:r>
      <w:r w:rsidR="00CC12C6" w:rsidRPr="00CC12C6">
        <w:rPr>
          <w:rFonts w:ascii="Calibri" w:hAnsi="Calibri"/>
        </w:rPr>
        <w:t xml:space="preserve"> </w:t>
      </w:r>
      <w:r w:rsidR="00CC12C6" w:rsidRPr="00CC12C6">
        <w:rPr>
          <w:rFonts w:ascii="Calibri" w:hAnsi="Calibri"/>
          <w:b/>
          <w:bCs/>
        </w:rPr>
        <w:t>40</w:t>
      </w:r>
      <w:r w:rsidR="00CC12C6" w:rsidRPr="00CC12C6">
        <w:rPr>
          <w:rFonts w:ascii="Calibri" w:hAnsi="Calibri"/>
        </w:rPr>
        <w:t>, 380–387. (doi:10.1111/j.1600-048X.2008.04592.x)</w:t>
      </w:r>
    </w:p>
    <w:p w14:paraId="3ECDA3B8" w14:textId="77777777" w:rsidR="00CC12C6" w:rsidRPr="00CC12C6" w:rsidRDefault="00CC12C6" w:rsidP="00CC12C6">
      <w:pPr>
        <w:pStyle w:val="Bibliography"/>
        <w:rPr>
          <w:rFonts w:ascii="Calibri" w:hAnsi="Calibri"/>
        </w:rPr>
      </w:pPr>
      <w:r w:rsidRPr="00CC12C6">
        <w:rPr>
          <w:rFonts w:ascii="Calibri" w:hAnsi="Calibri"/>
        </w:rPr>
        <w:t>2.</w:t>
      </w:r>
      <w:r w:rsidRPr="00CC12C6">
        <w:rPr>
          <w:rFonts w:ascii="Calibri" w:hAnsi="Calibri"/>
        </w:rPr>
        <w:tab/>
        <w:t xml:space="preserve">Thiebault A, Mullers RHE, Pistorius PA, Tremblay Y. 2014 Local enhancement in a seabird: reaction distances and foraging consequence of predator aggregations. </w:t>
      </w:r>
      <w:r w:rsidRPr="00CC12C6">
        <w:rPr>
          <w:rFonts w:ascii="Calibri" w:hAnsi="Calibri"/>
          <w:i/>
          <w:iCs/>
        </w:rPr>
        <w:t>Behav Ecol</w:t>
      </w:r>
      <w:r w:rsidRPr="00CC12C6">
        <w:rPr>
          <w:rFonts w:ascii="Calibri" w:hAnsi="Calibri"/>
        </w:rPr>
        <w:t xml:space="preserve"> </w:t>
      </w:r>
      <w:r w:rsidRPr="00CC12C6">
        <w:rPr>
          <w:rFonts w:ascii="Calibri" w:hAnsi="Calibri"/>
          <w:b/>
          <w:bCs/>
        </w:rPr>
        <w:t>25</w:t>
      </w:r>
      <w:r w:rsidRPr="00CC12C6">
        <w:rPr>
          <w:rFonts w:ascii="Calibri" w:hAnsi="Calibri"/>
        </w:rPr>
        <w:t>, 1302–1310. (doi:10.1093/beheco/aru132)</w:t>
      </w:r>
    </w:p>
    <w:p w14:paraId="720E9332" w14:textId="77777777" w:rsidR="00CC12C6" w:rsidRPr="00CC12C6" w:rsidRDefault="00CC12C6" w:rsidP="00CC12C6">
      <w:pPr>
        <w:pStyle w:val="Bibliography"/>
        <w:rPr>
          <w:rFonts w:ascii="Calibri" w:hAnsi="Calibri"/>
        </w:rPr>
      </w:pPr>
      <w:r w:rsidRPr="00CC12C6">
        <w:rPr>
          <w:rFonts w:ascii="Calibri" w:hAnsi="Calibri"/>
        </w:rPr>
        <w:t>3.</w:t>
      </w:r>
      <w:r w:rsidRPr="00CC12C6">
        <w:rPr>
          <w:rFonts w:ascii="Calibri" w:hAnsi="Calibri"/>
        </w:rPr>
        <w:tab/>
        <w:t xml:space="preserve">Garriga J, Palmer JRB, Oltra A, Bartumeus F. 2016 Expectation-maximization binary clustering for behavioural annotation. </w:t>
      </w:r>
      <w:r w:rsidRPr="00CC12C6">
        <w:rPr>
          <w:rFonts w:ascii="Calibri" w:hAnsi="Calibri"/>
          <w:i/>
          <w:iCs/>
        </w:rPr>
        <w:t>PLOS ONE</w:t>
      </w:r>
      <w:r w:rsidRPr="00CC12C6">
        <w:rPr>
          <w:rFonts w:ascii="Calibri" w:hAnsi="Calibri"/>
        </w:rPr>
        <w:t xml:space="preserve"> </w:t>
      </w:r>
      <w:r w:rsidRPr="00CC12C6">
        <w:rPr>
          <w:rFonts w:ascii="Calibri" w:hAnsi="Calibri"/>
          <w:b/>
          <w:bCs/>
        </w:rPr>
        <w:t>11</w:t>
      </w:r>
      <w:r w:rsidRPr="00CC12C6">
        <w:rPr>
          <w:rFonts w:ascii="Calibri" w:hAnsi="Calibri"/>
        </w:rPr>
        <w:t>, e0151984. (doi:10.1371/journal.pone.0151984)</w:t>
      </w:r>
    </w:p>
    <w:p w14:paraId="3431DEB3" w14:textId="77777777" w:rsidR="00CC12C6" w:rsidRPr="00CC12C6" w:rsidRDefault="00CC12C6" w:rsidP="00CC12C6">
      <w:pPr>
        <w:pStyle w:val="Bibliography"/>
        <w:rPr>
          <w:rFonts w:ascii="Calibri" w:hAnsi="Calibri"/>
        </w:rPr>
      </w:pPr>
      <w:r w:rsidRPr="00CC12C6">
        <w:rPr>
          <w:rFonts w:ascii="Calibri" w:hAnsi="Calibri"/>
        </w:rPr>
        <w:t>4.</w:t>
      </w:r>
      <w:r w:rsidRPr="00CC12C6">
        <w:rPr>
          <w:rFonts w:ascii="Calibri" w:hAnsi="Calibri"/>
        </w:rPr>
        <w:tab/>
        <w:t xml:space="preserve">Redner RA, Walker HF. 1984 Mixture Densities, Maximum Likelihood and the Em Algorithm. </w:t>
      </w:r>
      <w:r w:rsidRPr="00CC12C6">
        <w:rPr>
          <w:rFonts w:ascii="Calibri" w:hAnsi="Calibri"/>
          <w:i/>
          <w:iCs/>
        </w:rPr>
        <w:t>SIAM Review</w:t>
      </w:r>
      <w:r w:rsidRPr="00CC12C6">
        <w:rPr>
          <w:rFonts w:ascii="Calibri" w:hAnsi="Calibri"/>
        </w:rPr>
        <w:t xml:space="preserve"> </w:t>
      </w:r>
      <w:r w:rsidRPr="00CC12C6">
        <w:rPr>
          <w:rFonts w:ascii="Calibri" w:hAnsi="Calibri"/>
          <w:b/>
          <w:bCs/>
        </w:rPr>
        <w:t>26</w:t>
      </w:r>
      <w:r w:rsidRPr="00CC12C6">
        <w:rPr>
          <w:rFonts w:ascii="Calibri" w:hAnsi="Calibri"/>
        </w:rPr>
        <w:t>, 195–239.</w:t>
      </w:r>
    </w:p>
    <w:p w14:paraId="7839447A" w14:textId="77777777" w:rsidR="00CC12C6" w:rsidRPr="00CC12C6" w:rsidRDefault="00CC12C6" w:rsidP="00CC12C6">
      <w:pPr>
        <w:pStyle w:val="Bibliography"/>
        <w:rPr>
          <w:rFonts w:ascii="Calibri" w:hAnsi="Calibri"/>
        </w:rPr>
      </w:pPr>
      <w:r w:rsidRPr="00CC12C6">
        <w:rPr>
          <w:rFonts w:ascii="Calibri" w:hAnsi="Calibri"/>
        </w:rPr>
        <w:t>5.</w:t>
      </w:r>
      <w:r w:rsidRPr="00CC12C6">
        <w:rPr>
          <w:rFonts w:ascii="Calibri" w:hAnsi="Calibri"/>
        </w:rPr>
        <w:tab/>
        <w:t xml:space="preserve">Bennison A, Bearhop S, Bodey TW, Votier SC, Grecian WJ, Wakefield ED, Hamer KC, Jessopp M. 2018 Search and foraging behaviors from movement data: A comparison of methods. </w:t>
      </w:r>
      <w:r w:rsidRPr="00CC12C6">
        <w:rPr>
          <w:rFonts w:ascii="Calibri" w:hAnsi="Calibri"/>
          <w:i/>
          <w:iCs/>
        </w:rPr>
        <w:t>Ecol Evol</w:t>
      </w:r>
      <w:r w:rsidRPr="00CC12C6">
        <w:rPr>
          <w:rFonts w:ascii="Calibri" w:hAnsi="Calibri"/>
        </w:rPr>
        <w:t xml:space="preserve"> </w:t>
      </w:r>
      <w:r w:rsidRPr="00CC12C6">
        <w:rPr>
          <w:rFonts w:ascii="Calibri" w:hAnsi="Calibri"/>
          <w:b/>
          <w:bCs/>
        </w:rPr>
        <w:t>8</w:t>
      </w:r>
      <w:r w:rsidRPr="00CC12C6">
        <w:rPr>
          <w:rFonts w:ascii="Calibri" w:hAnsi="Calibri"/>
        </w:rPr>
        <w:t>, 13–24. (doi:10.1002/ece3.3593)</w:t>
      </w:r>
    </w:p>
    <w:p w14:paraId="4804F927" w14:textId="77777777" w:rsidR="00CC12C6" w:rsidRPr="00CC12C6" w:rsidRDefault="00CC12C6" w:rsidP="00CC12C6">
      <w:pPr>
        <w:pStyle w:val="Bibliography"/>
        <w:rPr>
          <w:rFonts w:ascii="Calibri" w:hAnsi="Calibri"/>
        </w:rPr>
      </w:pPr>
      <w:r w:rsidRPr="00CC12C6">
        <w:rPr>
          <w:rFonts w:ascii="Calibri" w:hAnsi="Calibri"/>
        </w:rPr>
        <w:lastRenderedPageBreak/>
        <w:t>6.</w:t>
      </w:r>
      <w:r w:rsidRPr="00CC12C6">
        <w:rPr>
          <w:rFonts w:ascii="Calibri" w:hAnsi="Calibri"/>
        </w:rPr>
        <w:tab/>
        <w:t xml:space="preserve">Wakefield ED </w:t>
      </w:r>
      <w:r w:rsidRPr="00CC12C6">
        <w:rPr>
          <w:rFonts w:ascii="Calibri" w:hAnsi="Calibri"/>
          <w:i/>
          <w:iCs/>
        </w:rPr>
        <w:t>et al.</w:t>
      </w:r>
      <w:r w:rsidRPr="00CC12C6">
        <w:rPr>
          <w:rFonts w:ascii="Calibri" w:hAnsi="Calibri"/>
        </w:rPr>
        <w:t xml:space="preserve"> 2013 Space Partitioning Without Territoriality in Gannets. </w:t>
      </w:r>
      <w:r w:rsidRPr="00CC12C6">
        <w:rPr>
          <w:rFonts w:ascii="Calibri" w:hAnsi="Calibri"/>
          <w:i/>
          <w:iCs/>
        </w:rPr>
        <w:t>Science</w:t>
      </w:r>
      <w:r w:rsidRPr="00CC12C6">
        <w:rPr>
          <w:rFonts w:ascii="Calibri" w:hAnsi="Calibri"/>
        </w:rPr>
        <w:t xml:space="preserve"> </w:t>
      </w:r>
      <w:r w:rsidRPr="00CC12C6">
        <w:rPr>
          <w:rFonts w:ascii="Calibri" w:hAnsi="Calibri"/>
          <w:b/>
          <w:bCs/>
        </w:rPr>
        <w:t>341</w:t>
      </w:r>
      <w:r w:rsidRPr="00CC12C6">
        <w:rPr>
          <w:rFonts w:ascii="Calibri" w:hAnsi="Calibri"/>
        </w:rPr>
        <w:t>, 68–70. (doi:10.1126/science.1236077)</w:t>
      </w:r>
    </w:p>
    <w:p w14:paraId="01D71853" w14:textId="77777777" w:rsidR="00CC12C6" w:rsidRPr="00CC12C6" w:rsidRDefault="00CC12C6" w:rsidP="00CC12C6">
      <w:pPr>
        <w:pStyle w:val="Bibliography"/>
        <w:rPr>
          <w:rFonts w:ascii="Calibri" w:hAnsi="Calibri"/>
        </w:rPr>
      </w:pPr>
      <w:r w:rsidRPr="00CC12C6">
        <w:rPr>
          <w:rFonts w:ascii="Calibri" w:hAnsi="Calibri"/>
        </w:rPr>
        <w:t>7.</w:t>
      </w:r>
      <w:r w:rsidRPr="00CC12C6">
        <w:rPr>
          <w:rFonts w:ascii="Calibri" w:hAnsi="Calibri"/>
        </w:rPr>
        <w:tab/>
        <w:t xml:space="preserve">Garthe S, Peschko V, Kubetzki U, Corman A-M. 2017 Seabirds as samplers of the marine environment – a case study of northern gannets. </w:t>
      </w:r>
      <w:r w:rsidRPr="00CC12C6">
        <w:rPr>
          <w:rFonts w:ascii="Calibri" w:hAnsi="Calibri"/>
          <w:i/>
          <w:iCs/>
        </w:rPr>
        <w:t>Ocean Sci.</w:t>
      </w:r>
      <w:r w:rsidRPr="00CC12C6">
        <w:rPr>
          <w:rFonts w:ascii="Calibri" w:hAnsi="Calibri"/>
        </w:rPr>
        <w:t xml:space="preserve"> </w:t>
      </w:r>
      <w:r w:rsidRPr="00CC12C6">
        <w:rPr>
          <w:rFonts w:ascii="Calibri" w:hAnsi="Calibri"/>
          <w:b/>
          <w:bCs/>
        </w:rPr>
        <w:t>13</w:t>
      </w:r>
      <w:r w:rsidRPr="00CC12C6">
        <w:rPr>
          <w:rFonts w:ascii="Calibri" w:hAnsi="Calibri"/>
        </w:rPr>
        <w:t>, 337–347. (doi:10.5194/os-13-337-2017)</w:t>
      </w:r>
    </w:p>
    <w:p w14:paraId="7DE708CC" w14:textId="1F00ECF8" w:rsidR="00247807" w:rsidRPr="00247807" w:rsidRDefault="00D60C94">
      <w:pPr>
        <w:spacing w:line="480" w:lineRule="auto"/>
      </w:pPr>
      <w:r>
        <w:fldChar w:fldCharType="end"/>
      </w:r>
    </w:p>
    <w:sectPr w:rsidR="00247807" w:rsidRPr="00247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5C"/>
    <w:rsid w:val="00051659"/>
    <w:rsid w:val="0007759B"/>
    <w:rsid w:val="000860AA"/>
    <w:rsid w:val="000A277E"/>
    <w:rsid w:val="000B2102"/>
    <w:rsid w:val="00102D8C"/>
    <w:rsid w:val="001624C9"/>
    <w:rsid w:val="001F1A23"/>
    <w:rsid w:val="00242D07"/>
    <w:rsid w:val="00247807"/>
    <w:rsid w:val="00360159"/>
    <w:rsid w:val="003B161A"/>
    <w:rsid w:val="003E2C65"/>
    <w:rsid w:val="0040238B"/>
    <w:rsid w:val="00420C6A"/>
    <w:rsid w:val="0042657D"/>
    <w:rsid w:val="0045265C"/>
    <w:rsid w:val="004D21C3"/>
    <w:rsid w:val="00516514"/>
    <w:rsid w:val="005807CA"/>
    <w:rsid w:val="005904F4"/>
    <w:rsid w:val="00615B18"/>
    <w:rsid w:val="0062115A"/>
    <w:rsid w:val="00623C92"/>
    <w:rsid w:val="0063666B"/>
    <w:rsid w:val="0065305E"/>
    <w:rsid w:val="0069090F"/>
    <w:rsid w:val="006A610B"/>
    <w:rsid w:val="006D6C44"/>
    <w:rsid w:val="007019CD"/>
    <w:rsid w:val="007B74DC"/>
    <w:rsid w:val="007C03CF"/>
    <w:rsid w:val="007F1D1C"/>
    <w:rsid w:val="00815391"/>
    <w:rsid w:val="0085781F"/>
    <w:rsid w:val="008D236B"/>
    <w:rsid w:val="00924725"/>
    <w:rsid w:val="00A11FA7"/>
    <w:rsid w:val="00A82967"/>
    <w:rsid w:val="00B57077"/>
    <w:rsid w:val="00B70042"/>
    <w:rsid w:val="00B82D85"/>
    <w:rsid w:val="00C72EB7"/>
    <w:rsid w:val="00CC12C6"/>
    <w:rsid w:val="00D0235B"/>
    <w:rsid w:val="00D349FD"/>
    <w:rsid w:val="00D479D1"/>
    <w:rsid w:val="00D60C94"/>
    <w:rsid w:val="00D76878"/>
    <w:rsid w:val="00E473C6"/>
    <w:rsid w:val="00E81236"/>
    <w:rsid w:val="00E828EB"/>
    <w:rsid w:val="00F4427C"/>
    <w:rsid w:val="00F67A60"/>
    <w:rsid w:val="00FC1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AEC2"/>
  <w15:docId w15:val="{4C6CC599-B192-442D-A851-BE4B224A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6C44"/>
    <w:rPr>
      <w:sz w:val="16"/>
      <w:szCs w:val="16"/>
    </w:rPr>
  </w:style>
  <w:style w:type="paragraph" w:styleId="CommentText">
    <w:name w:val="annotation text"/>
    <w:basedOn w:val="Normal"/>
    <w:link w:val="CommentTextChar"/>
    <w:uiPriority w:val="99"/>
    <w:semiHidden/>
    <w:unhideWhenUsed/>
    <w:rsid w:val="006D6C44"/>
    <w:pPr>
      <w:spacing w:line="240" w:lineRule="auto"/>
    </w:pPr>
    <w:rPr>
      <w:sz w:val="20"/>
      <w:szCs w:val="20"/>
    </w:rPr>
  </w:style>
  <w:style w:type="character" w:customStyle="1" w:styleId="CommentTextChar">
    <w:name w:val="Comment Text Char"/>
    <w:basedOn w:val="DefaultParagraphFont"/>
    <w:link w:val="CommentText"/>
    <w:uiPriority w:val="99"/>
    <w:semiHidden/>
    <w:rsid w:val="006D6C44"/>
    <w:rPr>
      <w:sz w:val="20"/>
      <w:szCs w:val="20"/>
    </w:rPr>
  </w:style>
  <w:style w:type="paragraph" w:styleId="BalloonText">
    <w:name w:val="Balloon Text"/>
    <w:basedOn w:val="Normal"/>
    <w:link w:val="BalloonTextChar"/>
    <w:uiPriority w:val="99"/>
    <w:semiHidden/>
    <w:unhideWhenUsed/>
    <w:rsid w:val="006D6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C44"/>
    <w:rPr>
      <w:rFonts w:ascii="Segoe UI" w:hAnsi="Segoe UI" w:cs="Segoe UI"/>
      <w:sz w:val="18"/>
      <w:szCs w:val="18"/>
    </w:rPr>
  </w:style>
  <w:style w:type="paragraph" w:styleId="Bibliography">
    <w:name w:val="Bibliography"/>
    <w:basedOn w:val="Normal"/>
    <w:next w:val="Normal"/>
    <w:uiPriority w:val="37"/>
    <w:unhideWhenUsed/>
    <w:rsid w:val="00D60C94"/>
    <w:pPr>
      <w:tabs>
        <w:tab w:val="left" w:pos="264"/>
      </w:tabs>
      <w:spacing w:after="240" w:line="240" w:lineRule="auto"/>
      <w:ind w:left="264" w:hanging="264"/>
    </w:pPr>
  </w:style>
  <w:style w:type="paragraph" w:styleId="CommentSubject">
    <w:name w:val="annotation subject"/>
    <w:basedOn w:val="CommentText"/>
    <w:next w:val="CommentText"/>
    <w:link w:val="CommentSubjectChar"/>
    <w:uiPriority w:val="99"/>
    <w:semiHidden/>
    <w:unhideWhenUsed/>
    <w:rsid w:val="005807CA"/>
    <w:rPr>
      <w:b/>
      <w:bCs/>
    </w:rPr>
  </w:style>
  <w:style w:type="character" w:customStyle="1" w:styleId="CommentSubjectChar">
    <w:name w:val="Comment Subject Char"/>
    <w:basedOn w:val="CommentTextChar"/>
    <w:link w:val="CommentSubject"/>
    <w:uiPriority w:val="99"/>
    <w:semiHidden/>
    <w:rsid w:val="005807CA"/>
    <w:rPr>
      <w:b/>
      <w:bCs/>
      <w:sz w:val="20"/>
      <w:szCs w:val="20"/>
    </w:rPr>
  </w:style>
  <w:style w:type="character" w:styleId="Hyperlink">
    <w:name w:val="Hyperlink"/>
    <w:basedOn w:val="DefaultParagraphFont"/>
    <w:uiPriority w:val="99"/>
    <w:unhideWhenUsed/>
    <w:rsid w:val="004D21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6244">
      <w:bodyDiv w:val="1"/>
      <w:marLeft w:val="0"/>
      <w:marRight w:val="0"/>
      <w:marTop w:val="0"/>
      <w:marBottom w:val="0"/>
      <w:divBdr>
        <w:top w:val="none" w:sz="0" w:space="0" w:color="auto"/>
        <w:left w:val="none" w:sz="0" w:space="0" w:color="auto"/>
        <w:bottom w:val="none" w:sz="0" w:space="0" w:color="auto"/>
        <w:right w:val="none" w:sz="0" w:space="0" w:color="auto"/>
      </w:divBdr>
    </w:div>
    <w:div w:id="1839687068">
      <w:bodyDiv w:val="1"/>
      <w:marLeft w:val="0"/>
      <w:marRight w:val="0"/>
      <w:marTop w:val="0"/>
      <w:marBottom w:val="0"/>
      <w:divBdr>
        <w:top w:val="none" w:sz="0" w:space="0" w:color="auto"/>
        <w:left w:val="none" w:sz="0" w:space="0" w:color="auto"/>
        <w:bottom w:val="none" w:sz="0" w:space="0" w:color="auto"/>
        <w:right w:val="none" w:sz="0" w:space="0" w:color="auto"/>
      </w:divBdr>
      <w:divsChild>
        <w:div w:id="2079092203">
          <w:marLeft w:val="0"/>
          <w:marRight w:val="0"/>
          <w:marTop w:val="0"/>
          <w:marBottom w:val="0"/>
          <w:divBdr>
            <w:top w:val="none" w:sz="0" w:space="0" w:color="auto"/>
            <w:left w:val="none" w:sz="0" w:space="0" w:color="auto"/>
            <w:bottom w:val="none" w:sz="0" w:space="0" w:color="auto"/>
            <w:right w:val="none" w:sz="0" w:space="0" w:color="auto"/>
          </w:divBdr>
          <w:divsChild>
            <w:div w:id="18888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4471</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Theresa</dc:creator>
  <cp:keywords/>
  <dc:description/>
  <cp:lastModifiedBy>oupswift</cp:lastModifiedBy>
  <cp:revision>2</cp:revision>
  <dcterms:created xsi:type="dcterms:W3CDTF">2018-07-04T08:24:00Z</dcterms:created>
  <dcterms:modified xsi:type="dcterms:W3CDTF">2018-07-04T08:24:00Z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id="jA2YnIzK"/&gt;&lt;style id="http://www.zotero.org/styles/biology-letters" hasBibliography="1" bibliographyStyleHasBeenSet="1"/&gt;&lt;prefs&gt;&lt;pref name="fieldType" value="Field"/&gt;&lt;/prefs&gt;&lt;/data&gt;</vt:lpwstr>
  </property>
</Properties>
</file>