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6540" w14:textId="77777777" w:rsidR="007A07BC" w:rsidRPr="004A065D" w:rsidRDefault="007A07BC" w:rsidP="007A07BC">
      <w:pPr>
        <w:spacing w:line="360" w:lineRule="auto"/>
        <w:jc w:val="both"/>
        <w:rPr>
          <w:rFonts w:ascii="Times New Roman" w:hAnsi="Times New Roman"/>
          <w:b/>
          <w:sz w:val="24"/>
          <w:szCs w:val="24"/>
        </w:rPr>
      </w:pPr>
      <w:bookmarkStart w:id="0" w:name="OLE_LINK1"/>
      <w:bookmarkStart w:id="1" w:name="OLE_LINK2"/>
      <w:bookmarkStart w:id="2" w:name="OLE_LINK3"/>
      <w:r w:rsidRPr="004A065D">
        <w:rPr>
          <w:rFonts w:ascii="Times New Roman" w:hAnsi="Times New Roman"/>
          <w:b/>
          <w:sz w:val="24"/>
          <w:szCs w:val="24"/>
        </w:rPr>
        <w:t>Finite element modelling details</w:t>
      </w:r>
    </w:p>
    <w:p w14:paraId="04F4FCC7" w14:textId="5C5DB8B8" w:rsidR="007A07BC" w:rsidRDefault="007A07BC" w:rsidP="007A07BC">
      <w:pPr>
        <w:spacing w:line="360" w:lineRule="auto"/>
        <w:jc w:val="both"/>
        <w:rPr>
          <w:rFonts w:ascii="Times New Roman" w:hAnsi="Times New Roman"/>
          <w:sz w:val="24"/>
          <w:szCs w:val="24"/>
        </w:rPr>
      </w:pPr>
      <w:r>
        <w:rPr>
          <w:rFonts w:ascii="Times New Roman" w:hAnsi="Times New Roman"/>
          <w:sz w:val="24"/>
          <w:szCs w:val="24"/>
        </w:rPr>
        <w:t>A cohesive-like separation law is implemented between the layers allowing failure of the interface and thus simulating the delamination. The interface will fail when the following condition is satisfied: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7A07BC" w14:paraId="295BB766" w14:textId="77777777" w:rsidTr="00236182">
        <w:trPr>
          <w:jc w:val="center"/>
        </w:trPr>
        <w:tc>
          <w:tcPr>
            <w:tcW w:w="3259" w:type="dxa"/>
            <w:vAlign w:val="center"/>
          </w:tcPr>
          <w:p w14:paraId="407470C1" w14:textId="77777777" w:rsidR="007A07BC" w:rsidRDefault="007A07BC" w:rsidP="007A07BC">
            <w:pPr>
              <w:spacing w:line="360" w:lineRule="auto"/>
              <w:jc w:val="both"/>
              <w:rPr>
                <w:rFonts w:ascii="Times New Roman" w:hAnsi="Times New Roman"/>
                <w:sz w:val="24"/>
                <w:szCs w:val="24"/>
              </w:rPr>
            </w:pPr>
          </w:p>
        </w:tc>
        <w:tc>
          <w:tcPr>
            <w:tcW w:w="3259" w:type="dxa"/>
            <w:vAlign w:val="center"/>
          </w:tcPr>
          <w:p w14:paraId="4E16658B" w14:textId="2BC48F37" w:rsidR="007A07BC" w:rsidRDefault="00CD5DE8" w:rsidP="007A07BC">
            <w:pPr>
              <w:spacing w:line="360" w:lineRule="auto"/>
              <w:jc w:val="both"/>
              <w:rPr>
                <w:rFonts w:ascii="Times New Roman" w:hAnsi="Times New Roman"/>
                <w:sz w:val="24"/>
                <w:szCs w:val="24"/>
              </w:rPr>
            </w:pPr>
            <m:oMathPara>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sz w:val="24"/>
                                <w:szCs w:val="24"/>
                              </w:rPr>
                              <m:t>σ</m:t>
                            </m:r>
                          </m:num>
                          <m:den>
                            <m:sSub>
                              <m:sSubPr>
                                <m:ctrlPr>
                                  <w:rPr>
                                    <w:rFonts w:ascii="Cambria Math" w:hAnsi="Cambria Math" w:cs="Times New Roman"/>
                                    <w:i/>
                                    <w:sz w:val="24"/>
                                    <w:szCs w:val="24"/>
                                    <w:lang w:val="en-US"/>
                                  </w:rPr>
                                </m:ctrlPr>
                              </m:sSubPr>
                              <m:e>
                                <m:r>
                                  <w:rPr>
                                    <w:rFonts w:ascii="Cambria Math" w:hAnsi="Cambria Math"/>
                                    <w:sz w:val="24"/>
                                    <w:szCs w:val="24"/>
                                  </w:rPr>
                                  <m:t>σ</m:t>
                                </m:r>
                              </m:e>
                              <m:sub>
                                <m:r>
                                  <w:rPr>
                                    <w:rFonts w:ascii="Cambria Math" w:hAnsi="Cambria Math"/>
                                    <w:sz w:val="24"/>
                                    <w:szCs w:val="24"/>
                                  </w:rPr>
                                  <m:t>lim</m:t>
                                </m:r>
                              </m:sub>
                            </m:sSub>
                          </m:den>
                        </m:f>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sz w:val="24"/>
                                <w:szCs w:val="24"/>
                              </w:rPr>
                              <m:t>τ</m:t>
                            </m:r>
                          </m:num>
                          <m:den>
                            <m:sSub>
                              <m:sSubPr>
                                <m:ctrlPr>
                                  <w:rPr>
                                    <w:rFonts w:ascii="Cambria Math" w:hAnsi="Cambria Math" w:cs="Times New Roman"/>
                                    <w:i/>
                                    <w:sz w:val="24"/>
                                    <w:szCs w:val="24"/>
                                    <w:lang w:val="en-US"/>
                                  </w:rPr>
                                </m:ctrlPr>
                              </m:sSubPr>
                              <m:e>
                                <m:r>
                                  <w:rPr>
                                    <w:rFonts w:ascii="Cambria Math" w:hAnsi="Cambria Math"/>
                                    <w:sz w:val="24"/>
                                    <w:szCs w:val="24"/>
                                  </w:rPr>
                                  <m:t>τ</m:t>
                                </m:r>
                              </m:e>
                              <m:sub>
                                <m:r>
                                  <w:rPr>
                                    <w:rFonts w:ascii="Cambria Math" w:hAnsi="Cambria Math"/>
                                    <w:sz w:val="24"/>
                                    <w:szCs w:val="24"/>
                                  </w:rPr>
                                  <m:t>lim</m:t>
                                </m:r>
                              </m:sub>
                            </m:sSub>
                          </m:den>
                        </m:f>
                      </m:e>
                    </m:d>
                  </m:e>
                  <m:sup>
                    <m:r>
                      <w:rPr>
                        <w:rFonts w:ascii="Cambria Math" w:hAnsi="Cambria Math"/>
                        <w:sz w:val="24"/>
                        <w:szCs w:val="24"/>
                      </w:rPr>
                      <m:t>2</m:t>
                    </m:r>
                  </m:sup>
                </m:sSup>
                <m:r>
                  <w:rPr>
                    <w:rFonts w:ascii="Cambria Math" w:hAnsi="Cambria Math"/>
                    <w:sz w:val="24"/>
                    <w:szCs w:val="24"/>
                  </w:rPr>
                  <m:t>≥1</m:t>
                </m:r>
              </m:oMath>
            </m:oMathPara>
          </w:p>
        </w:tc>
        <w:tc>
          <w:tcPr>
            <w:tcW w:w="3260" w:type="dxa"/>
            <w:vAlign w:val="center"/>
          </w:tcPr>
          <w:p w14:paraId="4C425FA2" w14:textId="110ED3B5" w:rsidR="007A07BC" w:rsidRDefault="007A07BC" w:rsidP="00236182">
            <w:pPr>
              <w:spacing w:line="360" w:lineRule="auto"/>
              <w:jc w:val="right"/>
              <w:rPr>
                <w:rFonts w:ascii="Times New Roman" w:hAnsi="Times New Roman"/>
                <w:sz w:val="24"/>
                <w:szCs w:val="24"/>
              </w:rPr>
            </w:pPr>
            <w:r>
              <w:rPr>
                <w:rFonts w:ascii="Times New Roman" w:hAnsi="Times New Roman"/>
                <w:sz w:val="24"/>
                <w:szCs w:val="24"/>
              </w:rPr>
              <w:t>(S1)</w:t>
            </w:r>
          </w:p>
        </w:tc>
      </w:tr>
    </w:tbl>
    <w:p w14:paraId="11A64E63" w14:textId="2B50E858" w:rsidR="007A07BC" w:rsidRDefault="007A07BC" w:rsidP="00236182">
      <w:pPr>
        <w:spacing w:line="360" w:lineRule="auto"/>
        <w:jc w:val="both"/>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lim</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lim</m:t>
            </m:r>
          </m:sub>
        </m:sSub>
      </m:oMath>
      <w:r>
        <w:rPr>
          <w:rFonts w:ascii="Times New Roman" w:hAnsi="Times New Roman"/>
          <w:sz w:val="24"/>
          <w:szCs w:val="24"/>
        </w:rPr>
        <w:t xml:space="preserve"> being</w:t>
      </w:r>
      <w:r>
        <w:rPr>
          <w:rFonts w:ascii="Times New Roman" w:eastAsia="Times New Roman" w:hAnsi="Times New Roman"/>
          <w:sz w:val="24"/>
          <w:szCs w:val="24"/>
        </w:rPr>
        <w:t xml:space="preserve"> the interface normal and shear limit strengths respectively. When failure occurs and the surfaces separate, the interaction automatically switches to a classical penalty based contact (static and dynamic coefficient of friction conventionally assumed 0.2. and 0.1</w:t>
      </w:r>
      <w:r w:rsidR="0081113F">
        <w:rPr>
          <w:rFonts w:ascii="Times New Roman" w:eastAsia="Times New Roman" w:hAnsi="Times New Roman"/>
          <w:sz w:val="24"/>
          <w:szCs w:val="24"/>
        </w:rPr>
        <w:t xml:space="preserve">). According to the </w:t>
      </w:r>
      <w:proofErr w:type="spellStart"/>
      <w:r w:rsidR="0081113F">
        <w:rPr>
          <w:rFonts w:ascii="Times New Roman" w:eastAsia="Times New Roman" w:hAnsi="Times New Roman"/>
          <w:sz w:val="24"/>
          <w:szCs w:val="24"/>
        </w:rPr>
        <w:t>Tresca</w:t>
      </w:r>
      <w:proofErr w:type="spellEnd"/>
      <w:r w:rsidR="0081113F">
        <w:rPr>
          <w:rFonts w:ascii="Times New Roman" w:eastAsia="Times New Roman" w:hAnsi="Times New Roman"/>
          <w:sz w:val="24"/>
          <w:szCs w:val="24"/>
        </w:rPr>
        <w:t xml:space="preserve"> criterion we have assumed </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lim</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lim</m:t>
            </m:r>
          </m:sub>
        </m:sSub>
      </m:oMath>
      <w:r>
        <w:rPr>
          <w:rFonts w:ascii="Times New Roman" w:hAnsi="Times New Roman"/>
          <w:sz w:val="24"/>
          <w:szCs w:val="24"/>
        </w:rPr>
        <w:t xml:space="preserve"> and </w:t>
      </w:r>
      <w:r>
        <w:rPr>
          <w:rFonts w:ascii="Times New Roman" w:eastAsia="Times New Roman" w:hAnsi="Times New Roman"/>
          <w:sz w:val="24"/>
          <w:szCs w:val="24"/>
        </w:rPr>
        <w:t xml:space="preserve">estimated </w:t>
      </w:r>
      <w:r w:rsidR="00DB3D9F">
        <w:rPr>
          <w:rFonts w:ascii="Times New Roman" w:eastAsia="Times New Roman" w:hAnsi="Times New Roman"/>
          <w:sz w:val="24"/>
          <w:szCs w:val="24"/>
        </w:rPr>
        <w:t>the stresses,</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lim</m:t>
            </m:r>
          </m:sub>
        </m:sSub>
        <m:r>
          <w:rPr>
            <w:rFonts w:ascii="Cambria Math" w:hAnsi="Cambria Math"/>
            <w:sz w:val="24"/>
            <w:szCs w:val="24"/>
          </w:rPr>
          <m:t>=11</m:t>
        </m:r>
      </m:oMath>
      <w:r>
        <w:rPr>
          <w:rFonts w:ascii="Times New Roman" w:eastAsia="Times New Roman" w:hAnsi="Times New Roman"/>
          <w:sz w:val="24"/>
          <w:szCs w:val="24"/>
        </w:rPr>
        <w:t xml:space="preserve"> MPa</w:t>
      </w:r>
      <w:r w:rsidR="0081113F">
        <w:rPr>
          <w:rFonts w:ascii="Times New Roman" w:eastAsia="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lim</m:t>
            </m:r>
          </m:sub>
        </m:sSub>
        <m:r>
          <w:rPr>
            <w:rFonts w:ascii="Cambria Math" w:hAnsi="Cambria Math"/>
            <w:sz w:val="24"/>
            <w:szCs w:val="24"/>
          </w:rPr>
          <m:t>=5.5</m:t>
        </m:r>
      </m:oMath>
      <w:r w:rsidR="002E1688">
        <w:rPr>
          <w:rFonts w:ascii="Times New Roman" w:eastAsia="Times New Roman" w:hAnsi="Times New Roman"/>
          <w:sz w:val="24"/>
          <w:szCs w:val="24"/>
        </w:rPr>
        <w:t xml:space="preserve"> </w:t>
      </w:r>
      <w:r w:rsidR="0081113F">
        <w:rPr>
          <w:rFonts w:ascii="Times New Roman" w:eastAsia="Times New Roman" w:hAnsi="Times New Roman"/>
          <w:sz w:val="24"/>
          <w:szCs w:val="24"/>
        </w:rPr>
        <w:t>MPa</w:t>
      </w:r>
      <w:r>
        <w:rPr>
          <w:rFonts w:ascii="Times New Roman" w:eastAsia="Times New Roman" w:hAnsi="Times New Roman"/>
          <w:sz w:val="24"/>
          <w:szCs w:val="24"/>
        </w:rPr>
        <w:t xml:space="preserve">. This value was obtained by targeting the experiments bending modulus strength and strain given the material properties </w:t>
      </w:r>
      <w:r w:rsidR="00BC56D0">
        <w:rPr>
          <w:rFonts w:ascii="Times New Roman" w:eastAsia="Times New Roman" w:hAnsi="Times New Roman"/>
          <w:sz w:val="24"/>
          <w:szCs w:val="24"/>
        </w:rPr>
        <w:t>(Supplementary Figure S</w:t>
      </w:r>
      <w:r w:rsidR="00844D1F">
        <w:rPr>
          <w:rFonts w:ascii="Times New Roman" w:eastAsia="Times New Roman" w:hAnsi="Times New Roman"/>
          <w:sz w:val="24"/>
          <w:szCs w:val="24"/>
        </w:rPr>
        <w:t>4</w:t>
      </w:r>
      <w:r>
        <w:rPr>
          <w:rFonts w:ascii="Times New Roman" w:eastAsia="Times New Roman" w:hAnsi="Times New Roman"/>
          <w:sz w:val="24"/>
          <w:szCs w:val="24"/>
        </w:rPr>
        <w:t>). As the trabecular structures were observed to be formed by an extension of middle layer, the nodes surrounding trabecular top faces are welded together in order to simulate the degree of restrain between the two substructures (</w:t>
      </w:r>
      <w:r w:rsidR="00BC56D0">
        <w:rPr>
          <w:rFonts w:ascii="Times New Roman" w:eastAsia="Times New Roman" w:hAnsi="Times New Roman"/>
          <w:sz w:val="24"/>
          <w:szCs w:val="24"/>
        </w:rPr>
        <w:t xml:space="preserve">Supplementary </w:t>
      </w:r>
      <w:r>
        <w:rPr>
          <w:rFonts w:ascii="Times New Roman" w:eastAsia="Times New Roman" w:hAnsi="Times New Roman"/>
          <w:sz w:val="24"/>
          <w:szCs w:val="24"/>
        </w:rPr>
        <w:t xml:space="preserve">Figure S3). </w:t>
      </w:r>
      <w:r>
        <w:rPr>
          <w:rFonts w:ascii="Times New Roman" w:hAnsi="Times New Roman"/>
          <w:sz w:val="24"/>
          <w:szCs w:val="24"/>
        </w:rPr>
        <w:t xml:space="preserve">Material failure is treated using erosion algorithm with failure that occurs when either one between the principal stress </w:t>
      </w:r>
      <w:proofErr w:type="gramStart"/>
      <w:r>
        <w:rPr>
          <w:rFonts w:ascii="Times New Roman" w:hAnsi="Times New Roman"/>
          <w:sz w:val="24"/>
          <w:szCs w:val="24"/>
        </w:rPr>
        <w:t>or</w:t>
      </w:r>
      <w:proofErr w:type="gramEnd"/>
      <w:r>
        <w:rPr>
          <w:rFonts w:ascii="Times New Roman" w:hAnsi="Times New Roman"/>
          <w:sz w:val="24"/>
          <w:szCs w:val="24"/>
        </w:rPr>
        <w:t xml:space="preserve"> strain reaches its limit, which corresponds to the average strength </w:t>
      </w:r>
      <w:proofErr w:type="spellStart"/>
      <w:r>
        <w:rPr>
          <w:rFonts w:ascii="Times New Roman" w:hAnsi="Times New Roman"/>
          <w:i/>
          <w:sz w:val="24"/>
          <w:szCs w:val="24"/>
        </w:rPr>
        <w:t>σ</w:t>
      </w:r>
      <w:r>
        <w:rPr>
          <w:rFonts w:ascii="Times New Roman" w:hAnsi="Times New Roman"/>
          <w:i/>
          <w:sz w:val="24"/>
          <w:szCs w:val="24"/>
          <w:vertAlign w:val="subscript"/>
        </w:rPr>
        <w:t>f</w:t>
      </w:r>
      <w:proofErr w:type="spellEnd"/>
      <w:r>
        <w:rPr>
          <w:rFonts w:ascii="Times New Roman" w:hAnsi="Times New Roman"/>
          <w:sz w:val="24"/>
          <w:szCs w:val="24"/>
        </w:rPr>
        <w:t xml:space="preserve"> and strain </w:t>
      </w:r>
      <w:proofErr w:type="spellStart"/>
      <w:r>
        <w:rPr>
          <w:rFonts w:ascii="Times New Roman" w:hAnsi="Times New Roman"/>
          <w:sz w:val="24"/>
          <w:szCs w:val="24"/>
        </w:rPr>
        <w:t>ε</w:t>
      </w:r>
      <w:r>
        <w:rPr>
          <w:rFonts w:ascii="Times New Roman" w:hAnsi="Times New Roman"/>
          <w:sz w:val="24"/>
          <w:szCs w:val="24"/>
          <w:vertAlign w:val="subscript"/>
        </w:rPr>
        <w:t>f</w:t>
      </w:r>
      <w:proofErr w:type="spellEnd"/>
      <w:r>
        <w:rPr>
          <w:rFonts w:ascii="Times New Roman" w:hAnsi="Times New Roman"/>
          <w:sz w:val="24"/>
          <w:szCs w:val="24"/>
          <w:vertAlign w:val="subscript"/>
        </w:rPr>
        <w:t xml:space="preserve"> </w:t>
      </w:r>
      <w:r>
        <w:rPr>
          <w:rFonts w:ascii="Times New Roman" w:hAnsi="Times New Roman"/>
          <w:sz w:val="24"/>
          <w:szCs w:val="24"/>
        </w:rPr>
        <w:t xml:space="preserve">= </w:t>
      </w:r>
      <w:proofErr w:type="spellStart"/>
      <w:r>
        <w:rPr>
          <w:rFonts w:ascii="Times New Roman" w:hAnsi="Times New Roman"/>
          <w:sz w:val="24"/>
          <w:szCs w:val="24"/>
        </w:rPr>
        <w:t>σ</w:t>
      </w:r>
      <w:r>
        <w:rPr>
          <w:rFonts w:ascii="Times New Roman" w:hAnsi="Times New Roman"/>
          <w:sz w:val="24"/>
          <w:szCs w:val="24"/>
          <w:vertAlign w:val="subscript"/>
        </w:rPr>
        <w:t>f</w:t>
      </w:r>
      <w:proofErr w:type="spellEnd"/>
      <w:r>
        <w:rPr>
          <w:rFonts w:ascii="Times New Roman" w:hAnsi="Times New Roman"/>
          <w:sz w:val="24"/>
          <w:szCs w:val="24"/>
        </w:rPr>
        <w:t>/</w:t>
      </w:r>
      <w:r>
        <w:rPr>
          <w:rFonts w:ascii="Times New Roman" w:hAnsi="Times New Roman"/>
          <w:i/>
          <w:sz w:val="24"/>
          <w:szCs w:val="24"/>
        </w:rPr>
        <w:t>E</w:t>
      </w:r>
      <w:r>
        <w:rPr>
          <w:rFonts w:ascii="Times New Roman" w:hAnsi="Times New Roman"/>
          <w:sz w:val="24"/>
          <w:szCs w:val="24"/>
        </w:rPr>
        <w:t xml:space="preserve"> measured from tensile tests (Supplementary Table S1). Failure of one element occurs when one integration point reaches the failure limit. Since the simulation is under control of the loading bar displacement, the external loading force </w:t>
      </w:r>
      <w:r>
        <w:rPr>
          <w:rFonts w:ascii="Times New Roman" w:hAnsi="Times New Roman"/>
          <w:i/>
          <w:sz w:val="24"/>
          <w:szCs w:val="24"/>
        </w:rPr>
        <w:t>F</w:t>
      </w:r>
      <w:r>
        <w:rPr>
          <w:rFonts w:ascii="Times New Roman" w:hAnsi="Times New Roman"/>
          <w:sz w:val="24"/>
          <w:szCs w:val="24"/>
        </w:rPr>
        <w:t xml:space="preserve"> is measured indirectly from the normal contact force between loading bar and the layer in contact (that for equilibrium is equal to the one recorded at the two support bars). </w:t>
      </w:r>
    </w:p>
    <w:p w14:paraId="095386FC" w14:textId="77777777" w:rsidR="009B6569" w:rsidRDefault="00941ADA" w:rsidP="006B0278">
      <w:pPr>
        <w:spacing w:after="0" w:line="240" w:lineRule="auto"/>
        <w:jc w:val="both"/>
        <w:rPr>
          <w:rFonts w:ascii="Times New Roman" w:hAnsi="Times New Roman" w:cs="Times New Roman"/>
          <w:sz w:val="24"/>
          <w:szCs w:val="24"/>
        </w:rPr>
      </w:pPr>
      <w:r w:rsidRPr="009B6569">
        <w:rPr>
          <w:rFonts w:ascii="Times New Roman" w:hAnsi="Times New Roman" w:cs="Times New Roman"/>
          <w:b/>
          <w:sz w:val="24"/>
          <w:szCs w:val="24"/>
        </w:rPr>
        <w:t>Table S</w:t>
      </w:r>
      <w:r w:rsidR="00385D94">
        <w:rPr>
          <w:rFonts w:ascii="Times New Roman" w:hAnsi="Times New Roman" w:cs="Times New Roman"/>
          <w:b/>
          <w:sz w:val="24"/>
          <w:szCs w:val="24"/>
        </w:rPr>
        <w:t>1</w:t>
      </w:r>
      <w:r w:rsidRPr="009B6569">
        <w:rPr>
          <w:rFonts w:ascii="Times New Roman" w:hAnsi="Times New Roman" w:cs="Times New Roman"/>
          <w:b/>
          <w:sz w:val="24"/>
          <w:szCs w:val="24"/>
        </w:rPr>
        <w:t>.</w:t>
      </w:r>
      <w:r w:rsidRPr="009B6569">
        <w:rPr>
          <w:rFonts w:ascii="Times New Roman" w:hAnsi="Times New Roman" w:cs="Times New Roman"/>
          <w:sz w:val="24"/>
          <w:szCs w:val="24"/>
        </w:rPr>
        <w:t xml:space="preserve"> Characteristics and material properties of the layers used in the FEM model</w:t>
      </w:r>
      <w:r w:rsidR="009B6569" w:rsidRPr="009B6569">
        <w:rPr>
          <w:rFonts w:ascii="Times New Roman" w:hAnsi="Times New Roman" w:cs="Times New Roman"/>
          <w:sz w:val="24"/>
          <w:szCs w:val="24"/>
        </w:rPr>
        <w:t>, taken as averages of the experimental results</w:t>
      </w:r>
      <w:r w:rsidRPr="009B6569">
        <w:rPr>
          <w:rFonts w:ascii="Times New Roman" w:hAnsi="Times New Roman" w:cs="Times New Roman"/>
          <w:sz w:val="24"/>
          <w:szCs w:val="24"/>
        </w:rPr>
        <w:t>.</w:t>
      </w:r>
      <w:r w:rsidR="009B6569" w:rsidRPr="009B6569">
        <w:rPr>
          <w:rFonts w:ascii="Times New Roman" w:hAnsi="Times New Roman" w:cs="Times New Roman"/>
          <w:sz w:val="24"/>
          <w:szCs w:val="24"/>
        </w:rPr>
        <w:t xml:space="preserve"> </w:t>
      </w:r>
      <w:proofErr w:type="spellStart"/>
      <w:proofErr w:type="gramStart"/>
      <w:r w:rsidR="009B6569" w:rsidRPr="006B0278">
        <w:rPr>
          <w:rFonts w:ascii="Times New Roman" w:hAnsi="Times New Roman" w:cs="Times New Roman"/>
          <w:sz w:val="24"/>
          <w:szCs w:val="24"/>
        </w:rPr>
        <w:t>ε</w:t>
      </w:r>
      <w:r w:rsidR="009B6569" w:rsidRPr="006B0278">
        <w:rPr>
          <w:rFonts w:ascii="Times New Roman" w:hAnsi="Times New Roman" w:cs="Times New Roman"/>
          <w:sz w:val="24"/>
          <w:szCs w:val="24"/>
          <w:vertAlign w:val="subscript"/>
        </w:rPr>
        <w:t>f</w:t>
      </w:r>
      <w:proofErr w:type="spellEnd"/>
      <w:proofErr w:type="gramEnd"/>
      <w:r w:rsidR="009B6569" w:rsidRPr="006B0278">
        <w:rPr>
          <w:rFonts w:ascii="Times New Roman" w:hAnsi="Times New Roman" w:cs="Times New Roman"/>
          <w:sz w:val="24"/>
          <w:szCs w:val="24"/>
        </w:rPr>
        <w:t xml:space="preserve"> is derived indirectly by </w:t>
      </w:r>
      <w:proofErr w:type="spellStart"/>
      <w:r w:rsidR="009B6569" w:rsidRPr="006B0278">
        <w:rPr>
          <w:rFonts w:ascii="Times New Roman" w:hAnsi="Times New Roman" w:cs="Times New Roman"/>
          <w:sz w:val="24"/>
          <w:szCs w:val="24"/>
        </w:rPr>
        <w:t>σ</w:t>
      </w:r>
      <w:r w:rsidR="009B6569" w:rsidRPr="006B0278">
        <w:rPr>
          <w:rFonts w:ascii="Times New Roman" w:hAnsi="Times New Roman" w:cs="Times New Roman"/>
          <w:sz w:val="24"/>
          <w:szCs w:val="24"/>
          <w:vertAlign w:val="subscript"/>
        </w:rPr>
        <w:t>f</w:t>
      </w:r>
      <w:proofErr w:type="spellEnd"/>
      <w:r w:rsidR="009B6569" w:rsidRPr="006B0278">
        <w:rPr>
          <w:rFonts w:ascii="Times New Roman" w:hAnsi="Times New Roman" w:cs="Times New Roman"/>
          <w:sz w:val="24"/>
          <w:szCs w:val="24"/>
        </w:rPr>
        <w:t>/</w:t>
      </w:r>
      <w:r w:rsidR="009B6569" w:rsidRPr="006B0278">
        <w:rPr>
          <w:rFonts w:ascii="Times New Roman" w:hAnsi="Times New Roman" w:cs="Times New Roman"/>
          <w:i/>
          <w:sz w:val="24"/>
          <w:szCs w:val="24"/>
        </w:rPr>
        <w:t>E</w:t>
      </w:r>
      <w:r w:rsidR="009B6569" w:rsidRPr="006B0278">
        <w:rPr>
          <w:rFonts w:ascii="Times New Roman" w:hAnsi="Times New Roman" w:cs="Times New Roman"/>
          <w:sz w:val="24"/>
          <w:szCs w:val="24"/>
        </w:rPr>
        <w:t xml:space="preserve"> assuming a linear elastic constitutive response for all layers.</w:t>
      </w:r>
    </w:p>
    <w:p w14:paraId="646E17C2" w14:textId="77777777" w:rsidR="00912EA2" w:rsidRPr="009B6569" w:rsidRDefault="00912EA2" w:rsidP="006B0278">
      <w:pPr>
        <w:spacing w:after="0" w:line="240" w:lineRule="auto"/>
        <w:jc w:val="both"/>
        <w:rPr>
          <w:rFonts w:ascii="Times New Roman" w:hAnsi="Times New Roman" w:cs="Times New Roman"/>
          <w:b/>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90"/>
        <w:gridCol w:w="1710"/>
        <w:gridCol w:w="1616"/>
        <w:gridCol w:w="1534"/>
      </w:tblGrid>
      <w:tr w:rsidR="00941ADA" w14:paraId="7ACC4FE9" w14:textId="77777777" w:rsidTr="003C4E37">
        <w:tc>
          <w:tcPr>
            <w:tcW w:w="2070" w:type="dxa"/>
            <w:tcBorders>
              <w:top w:val="single" w:sz="4" w:space="0" w:color="auto"/>
              <w:bottom w:val="single" w:sz="4" w:space="0" w:color="auto"/>
            </w:tcBorders>
            <w:tcMar>
              <w:top w:w="28" w:type="dxa"/>
              <w:bottom w:w="28" w:type="dxa"/>
            </w:tcMar>
            <w:vAlign w:val="center"/>
          </w:tcPr>
          <w:p w14:paraId="6E925FBD" w14:textId="77777777" w:rsidR="00941ADA" w:rsidRPr="00A35C77" w:rsidRDefault="00941ADA" w:rsidP="005A3F12">
            <w:pPr>
              <w:spacing w:after="0" w:line="240" w:lineRule="auto"/>
              <w:jc w:val="center"/>
              <w:rPr>
                <w:rFonts w:ascii="Times New Roman" w:hAnsi="Times New Roman" w:cs="Times New Roman"/>
                <w:b/>
                <w:sz w:val="24"/>
                <w:szCs w:val="24"/>
              </w:rPr>
            </w:pPr>
            <w:bookmarkStart w:id="3" w:name="OLE_LINK4"/>
            <w:bookmarkStart w:id="4" w:name="OLE_LINK5"/>
            <w:bookmarkStart w:id="5" w:name="OLE_LINK6"/>
            <w:bookmarkEnd w:id="0"/>
            <w:bookmarkEnd w:id="1"/>
            <w:bookmarkEnd w:id="2"/>
            <w:r w:rsidRPr="00A35C77">
              <w:rPr>
                <w:rFonts w:ascii="Times New Roman" w:hAnsi="Times New Roman" w:cs="Times New Roman"/>
                <w:b/>
                <w:sz w:val="24"/>
                <w:szCs w:val="24"/>
              </w:rPr>
              <w:t>Layer</w:t>
            </w:r>
          </w:p>
        </w:tc>
        <w:tc>
          <w:tcPr>
            <w:tcW w:w="1890" w:type="dxa"/>
            <w:tcBorders>
              <w:top w:val="single" w:sz="4" w:space="0" w:color="auto"/>
              <w:bottom w:val="single" w:sz="4" w:space="0" w:color="auto"/>
            </w:tcBorders>
            <w:tcMar>
              <w:top w:w="28" w:type="dxa"/>
              <w:bottom w:w="28" w:type="dxa"/>
            </w:tcMar>
            <w:vAlign w:val="center"/>
          </w:tcPr>
          <w:p w14:paraId="5D6F30D4" w14:textId="3E354E24" w:rsidR="00941ADA" w:rsidRPr="00A35C77" w:rsidRDefault="003C4E37" w:rsidP="00C508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Thickness</w:t>
            </w:r>
            <w:r w:rsidR="00C50833">
              <w:rPr>
                <w:rFonts w:ascii="Times New Roman" w:hAnsi="Times New Roman" w:cs="Times New Roman"/>
                <w:b/>
                <w:sz w:val="24"/>
                <w:szCs w:val="24"/>
              </w:rPr>
              <w:t xml:space="preserve"> </w:t>
            </w:r>
            <w:r w:rsidR="00941ADA" w:rsidRPr="00A35C77">
              <w:rPr>
                <w:rFonts w:ascii="Times New Roman" w:hAnsi="Times New Roman" w:cs="Times New Roman"/>
                <w:b/>
                <w:sz w:val="24"/>
                <w:szCs w:val="24"/>
              </w:rPr>
              <w:t>[μm]</w:t>
            </w:r>
          </w:p>
        </w:tc>
        <w:tc>
          <w:tcPr>
            <w:tcW w:w="1710" w:type="dxa"/>
            <w:tcBorders>
              <w:top w:val="single" w:sz="4" w:space="0" w:color="auto"/>
              <w:bottom w:val="single" w:sz="4" w:space="0" w:color="auto"/>
            </w:tcBorders>
            <w:tcMar>
              <w:top w:w="28" w:type="dxa"/>
              <w:bottom w:w="28" w:type="dxa"/>
            </w:tcMar>
            <w:vAlign w:val="center"/>
          </w:tcPr>
          <w:p w14:paraId="5BE46C95" w14:textId="47FF986E" w:rsidR="00941ADA" w:rsidRPr="00A35C77" w:rsidRDefault="00941ADA" w:rsidP="00C50833">
            <w:pPr>
              <w:spacing w:after="0" w:line="240" w:lineRule="auto"/>
              <w:jc w:val="center"/>
              <w:rPr>
                <w:rFonts w:ascii="Times New Roman" w:hAnsi="Times New Roman" w:cs="Times New Roman"/>
                <w:b/>
                <w:sz w:val="24"/>
                <w:szCs w:val="24"/>
              </w:rPr>
            </w:pPr>
            <w:bookmarkStart w:id="6" w:name="OLE_LINK10"/>
            <w:bookmarkStart w:id="7" w:name="OLE_LINK11"/>
            <w:bookmarkStart w:id="8" w:name="OLE_LINK12"/>
            <w:r w:rsidRPr="004813C0">
              <w:rPr>
                <w:rFonts w:ascii="Times New Roman" w:hAnsi="Times New Roman" w:cs="Times New Roman"/>
                <w:b/>
                <w:i/>
                <w:sz w:val="24"/>
                <w:szCs w:val="24"/>
              </w:rPr>
              <w:t>E</w:t>
            </w:r>
            <w:r w:rsidR="00C50833">
              <w:rPr>
                <w:rFonts w:ascii="Times New Roman" w:hAnsi="Times New Roman" w:cs="Times New Roman"/>
                <w:b/>
                <w:i/>
                <w:sz w:val="24"/>
                <w:szCs w:val="24"/>
              </w:rPr>
              <w:t xml:space="preserve"> </w:t>
            </w:r>
            <w:r w:rsidRPr="00A35C77">
              <w:rPr>
                <w:rFonts w:ascii="Times New Roman" w:hAnsi="Times New Roman" w:cs="Times New Roman"/>
                <w:b/>
                <w:sz w:val="24"/>
                <w:szCs w:val="24"/>
              </w:rPr>
              <w:t>[</w:t>
            </w:r>
            <w:r>
              <w:rPr>
                <w:rFonts w:ascii="Times New Roman" w:hAnsi="Times New Roman" w:cs="Times New Roman"/>
                <w:b/>
                <w:sz w:val="24"/>
                <w:szCs w:val="24"/>
              </w:rPr>
              <w:t>GP</w:t>
            </w:r>
            <w:r w:rsidRPr="00A35C77">
              <w:rPr>
                <w:rFonts w:ascii="Times New Roman" w:hAnsi="Times New Roman" w:cs="Times New Roman"/>
                <w:b/>
                <w:sz w:val="24"/>
                <w:szCs w:val="24"/>
              </w:rPr>
              <w:t>a]</w:t>
            </w:r>
            <w:bookmarkEnd w:id="6"/>
            <w:bookmarkEnd w:id="7"/>
            <w:bookmarkEnd w:id="8"/>
          </w:p>
        </w:tc>
        <w:tc>
          <w:tcPr>
            <w:tcW w:w="1616" w:type="dxa"/>
            <w:tcBorders>
              <w:top w:val="single" w:sz="4" w:space="0" w:color="auto"/>
              <w:bottom w:val="single" w:sz="4" w:space="0" w:color="auto"/>
            </w:tcBorders>
            <w:tcMar>
              <w:top w:w="28" w:type="dxa"/>
              <w:bottom w:w="28" w:type="dxa"/>
            </w:tcMar>
            <w:vAlign w:val="center"/>
          </w:tcPr>
          <w:p w14:paraId="0FA4CAC9" w14:textId="74490CC5" w:rsidR="00941ADA" w:rsidRPr="00A35C77" w:rsidRDefault="00941ADA" w:rsidP="00C50833">
            <w:pPr>
              <w:spacing w:after="0" w:line="240" w:lineRule="auto"/>
              <w:jc w:val="center"/>
              <w:rPr>
                <w:rFonts w:ascii="Times New Roman" w:hAnsi="Times New Roman" w:cs="Times New Roman"/>
                <w:b/>
                <w:sz w:val="24"/>
                <w:szCs w:val="24"/>
              </w:rPr>
            </w:pPr>
            <w:proofErr w:type="spellStart"/>
            <w:r w:rsidRPr="00A35C77">
              <w:rPr>
                <w:rFonts w:ascii="Times New Roman" w:hAnsi="Times New Roman" w:cs="Times New Roman"/>
                <w:b/>
                <w:sz w:val="24"/>
                <w:szCs w:val="24"/>
              </w:rPr>
              <w:t>σ</w:t>
            </w:r>
            <w:r w:rsidRPr="00A35C77">
              <w:rPr>
                <w:rFonts w:ascii="Times New Roman" w:hAnsi="Times New Roman" w:cs="Times New Roman"/>
                <w:b/>
                <w:sz w:val="24"/>
                <w:szCs w:val="24"/>
                <w:vertAlign w:val="subscript"/>
              </w:rPr>
              <w:t>f</w:t>
            </w:r>
            <w:proofErr w:type="spellEnd"/>
            <w:r w:rsidR="00C50833">
              <w:rPr>
                <w:rFonts w:ascii="Times New Roman" w:hAnsi="Times New Roman" w:cs="Times New Roman"/>
                <w:b/>
                <w:sz w:val="24"/>
                <w:szCs w:val="24"/>
                <w:vertAlign w:val="subscript"/>
              </w:rPr>
              <w:t xml:space="preserve"> </w:t>
            </w:r>
            <w:bookmarkStart w:id="9" w:name="_GoBack"/>
            <w:bookmarkEnd w:id="9"/>
            <w:r w:rsidRPr="00A35C77">
              <w:rPr>
                <w:rFonts w:ascii="Times New Roman" w:hAnsi="Times New Roman" w:cs="Times New Roman"/>
                <w:b/>
                <w:sz w:val="24"/>
                <w:szCs w:val="24"/>
              </w:rPr>
              <w:t>[MPa]</w:t>
            </w:r>
          </w:p>
        </w:tc>
        <w:tc>
          <w:tcPr>
            <w:tcW w:w="1534" w:type="dxa"/>
            <w:tcBorders>
              <w:top w:val="single" w:sz="4" w:space="0" w:color="auto"/>
              <w:bottom w:val="single" w:sz="4" w:space="0" w:color="auto"/>
            </w:tcBorders>
            <w:tcMar>
              <w:top w:w="28" w:type="dxa"/>
              <w:bottom w:w="28" w:type="dxa"/>
            </w:tcMar>
            <w:vAlign w:val="center"/>
          </w:tcPr>
          <w:p w14:paraId="40042A01" w14:textId="77777777" w:rsidR="00941ADA" w:rsidRPr="00A35C77" w:rsidRDefault="00941ADA" w:rsidP="005A3F12">
            <w:pPr>
              <w:spacing w:after="0" w:line="240" w:lineRule="auto"/>
              <w:jc w:val="center"/>
              <w:rPr>
                <w:rFonts w:ascii="Times New Roman" w:hAnsi="Times New Roman" w:cs="Times New Roman"/>
                <w:b/>
                <w:sz w:val="24"/>
                <w:szCs w:val="24"/>
              </w:rPr>
            </w:pPr>
            <w:proofErr w:type="spellStart"/>
            <w:r w:rsidRPr="00A35C77">
              <w:rPr>
                <w:rFonts w:ascii="Times New Roman" w:hAnsi="Times New Roman" w:cs="Times New Roman"/>
                <w:b/>
                <w:sz w:val="24"/>
                <w:szCs w:val="24"/>
              </w:rPr>
              <w:t>ε</w:t>
            </w:r>
            <w:r w:rsidRPr="00A35C77">
              <w:rPr>
                <w:rFonts w:ascii="Times New Roman" w:hAnsi="Times New Roman" w:cs="Times New Roman"/>
                <w:b/>
                <w:sz w:val="24"/>
                <w:szCs w:val="24"/>
                <w:vertAlign w:val="subscript"/>
              </w:rPr>
              <w:t>f</w:t>
            </w:r>
            <w:proofErr w:type="spellEnd"/>
          </w:p>
        </w:tc>
      </w:tr>
      <w:tr w:rsidR="00941ADA" w14:paraId="7709F31B" w14:textId="77777777" w:rsidTr="003C4E37">
        <w:tc>
          <w:tcPr>
            <w:tcW w:w="2070" w:type="dxa"/>
            <w:tcBorders>
              <w:top w:val="single" w:sz="4" w:space="0" w:color="auto"/>
            </w:tcBorders>
            <w:tcMar>
              <w:top w:w="28" w:type="dxa"/>
              <w:bottom w:w="28" w:type="dxa"/>
            </w:tcMar>
            <w:vAlign w:val="center"/>
          </w:tcPr>
          <w:p w14:paraId="0B229EE6"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Epicuticle</w:t>
            </w:r>
          </w:p>
        </w:tc>
        <w:tc>
          <w:tcPr>
            <w:tcW w:w="1890" w:type="dxa"/>
            <w:tcBorders>
              <w:top w:val="single" w:sz="4" w:space="0" w:color="auto"/>
            </w:tcBorders>
            <w:tcMar>
              <w:top w:w="28" w:type="dxa"/>
              <w:bottom w:w="28" w:type="dxa"/>
            </w:tcMar>
            <w:vAlign w:val="center"/>
          </w:tcPr>
          <w:p w14:paraId="4A369DC5"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10" w:type="dxa"/>
            <w:tcBorders>
              <w:top w:val="single" w:sz="4" w:space="0" w:color="auto"/>
            </w:tcBorders>
            <w:tcMar>
              <w:top w:w="28" w:type="dxa"/>
              <w:bottom w:w="28" w:type="dxa"/>
            </w:tcMar>
            <w:vAlign w:val="center"/>
          </w:tcPr>
          <w:p w14:paraId="2C4F5B98"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1616" w:type="dxa"/>
            <w:tcBorders>
              <w:top w:val="single" w:sz="4" w:space="0" w:color="auto"/>
            </w:tcBorders>
            <w:tcMar>
              <w:top w:w="28" w:type="dxa"/>
              <w:bottom w:w="28" w:type="dxa"/>
            </w:tcMar>
            <w:vAlign w:val="center"/>
          </w:tcPr>
          <w:p w14:paraId="7B79A591"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534" w:type="dxa"/>
            <w:tcBorders>
              <w:top w:val="single" w:sz="4" w:space="0" w:color="auto"/>
            </w:tcBorders>
            <w:tcMar>
              <w:top w:w="28" w:type="dxa"/>
              <w:bottom w:w="28" w:type="dxa"/>
            </w:tcMar>
            <w:vAlign w:val="center"/>
          </w:tcPr>
          <w:p w14:paraId="04D1933B"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0.029</w:t>
            </w:r>
          </w:p>
        </w:tc>
      </w:tr>
      <w:tr w:rsidR="00941ADA" w14:paraId="78F68914" w14:textId="77777777" w:rsidTr="003C4E37">
        <w:tc>
          <w:tcPr>
            <w:tcW w:w="2070" w:type="dxa"/>
            <w:tcMar>
              <w:top w:w="28" w:type="dxa"/>
              <w:bottom w:w="28" w:type="dxa"/>
            </w:tcMar>
            <w:vAlign w:val="center"/>
          </w:tcPr>
          <w:p w14:paraId="53C0473F"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Endocuticle</w:t>
            </w:r>
          </w:p>
        </w:tc>
        <w:tc>
          <w:tcPr>
            <w:tcW w:w="1890" w:type="dxa"/>
            <w:tcMar>
              <w:top w:w="28" w:type="dxa"/>
              <w:bottom w:w="28" w:type="dxa"/>
            </w:tcMar>
            <w:vAlign w:val="center"/>
          </w:tcPr>
          <w:p w14:paraId="127A2038"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710" w:type="dxa"/>
            <w:tcMar>
              <w:top w:w="28" w:type="dxa"/>
              <w:bottom w:w="28" w:type="dxa"/>
            </w:tcMar>
            <w:vAlign w:val="center"/>
          </w:tcPr>
          <w:p w14:paraId="7232C022"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616" w:type="dxa"/>
            <w:tcMar>
              <w:top w:w="28" w:type="dxa"/>
              <w:bottom w:w="28" w:type="dxa"/>
            </w:tcMar>
            <w:vAlign w:val="center"/>
          </w:tcPr>
          <w:p w14:paraId="2001D69C"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534" w:type="dxa"/>
            <w:tcMar>
              <w:top w:w="28" w:type="dxa"/>
              <w:bottom w:w="28" w:type="dxa"/>
            </w:tcMar>
            <w:vAlign w:val="center"/>
          </w:tcPr>
          <w:p w14:paraId="0192D4B3"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r>
      <w:tr w:rsidR="00941ADA" w14:paraId="6E4C821A" w14:textId="77777777" w:rsidTr="003C4E37">
        <w:tc>
          <w:tcPr>
            <w:tcW w:w="2070" w:type="dxa"/>
            <w:tcMar>
              <w:top w:w="28" w:type="dxa"/>
              <w:bottom w:w="28" w:type="dxa"/>
            </w:tcMar>
            <w:vAlign w:val="center"/>
          </w:tcPr>
          <w:p w14:paraId="24F5AAFF"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Void</w:t>
            </w:r>
          </w:p>
        </w:tc>
        <w:tc>
          <w:tcPr>
            <w:tcW w:w="1890" w:type="dxa"/>
            <w:tcMar>
              <w:top w:w="28" w:type="dxa"/>
              <w:bottom w:w="28" w:type="dxa"/>
            </w:tcMar>
            <w:vAlign w:val="center"/>
          </w:tcPr>
          <w:p w14:paraId="7FADB8D9"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710" w:type="dxa"/>
            <w:tcMar>
              <w:top w:w="28" w:type="dxa"/>
              <w:bottom w:w="28" w:type="dxa"/>
            </w:tcMar>
            <w:vAlign w:val="center"/>
          </w:tcPr>
          <w:p w14:paraId="46995039"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16" w:type="dxa"/>
            <w:tcMar>
              <w:top w:w="28" w:type="dxa"/>
              <w:bottom w:w="28" w:type="dxa"/>
            </w:tcMar>
            <w:vAlign w:val="center"/>
          </w:tcPr>
          <w:p w14:paraId="02A76A0F"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4" w:type="dxa"/>
            <w:tcMar>
              <w:top w:w="28" w:type="dxa"/>
              <w:bottom w:w="28" w:type="dxa"/>
            </w:tcMar>
            <w:vAlign w:val="center"/>
          </w:tcPr>
          <w:p w14:paraId="6B9C82A2"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ADA" w14:paraId="62D2986B" w14:textId="77777777" w:rsidTr="003C4E37">
        <w:tc>
          <w:tcPr>
            <w:tcW w:w="2070" w:type="dxa"/>
            <w:tcMar>
              <w:top w:w="28" w:type="dxa"/>
              <w:bottom w:w="28" w:type="dxa"/>
            </w:tcMar>
            <w:vAlign w:val="center"/>
          </w:tcPr>
          <w:p w14:paraId="08281CF4"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Trabecular </w:t>
            </w:r>
            <w:proofErr w:type="spellStart"/>
            <w:r>
              <w:rPr>
                <w:rFonts w:ascii="Times New Roman" w:hAnsi="Times New Roman" w:cs="Times New Roman"/>
                <w:sz w:val="24"/>
                <w:szCs w:val="24"/>
              </w:rPr>
              <w:t>struct</w:t>
            </w:r>
            <w:proofErr w:type="spellEnd"/>
            <w:r>
              <w:rPr>
                <w:rFonts w:ascii="Times New Roman" w:hAnsi="Times New Roman" w:cs="Times New Roman"/>
                <w:sz w:val="24"/>
                <w:szCs w:val="24"/>
              </w:rPr>
              <w:t>.</w:t>
            </w:r>
          </w:p>
        </w:tc>
        <w:tc>
          <w:tcPr>
            <w:tcW w:w="1890" w:type="dxa"/>
            <w:tcMar>
              <w:top w:w="28" w:type="dxa"/>
              <w:bottom w:w="28" w:type="dxa"/>
            </w:tcMar>
            <w:vAlign w:val="center"/>
          </w:tcPr>
          <w:p w14:paraId="05EB79B6"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710" w:type="dxa"/>
            <w:tcMar>
              <w:top w:w="28" w:type="dxa"/>
              <w:bottom w:w="28" w:type="dxa"/>
            </w:tcMar>
            <w:vAlign w:val="center"/>
          </w:tcPr>
          <w:p w14:paraId="35A8F004"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616" w:type="dxa"/>
            <w:tcMar>
              <w:top w:w="28" w:type="dxa"/>
              <w:bottom w:w="28" w:type="dxa"/>
            </w:tcMar>
            <w:vAlign w:val="center"/>
          </w:tcPr>
          <w:p w14:paraId="2D0CAC6F"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534" w:type="dxa"/>
            <w:tcMar>
              <w:top w:w="28" w:type="dxa"/>
              <w:bottom w:w="28" w:type="dxa"/>
            </w:tcMar>
            <w:vAlign w:val="center"/>
          </w:tcPr>
          <w:p w14:paraId="5A3FF624"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w:t>
            </w:r>
          </w:p>
        </w:tc>
      </w:tr>
      <w:tr w:rsidR="00941ADA" w14:paraId="631D41ED" w14:textId="77777777" w:rsidTr="003C4E37">
        <w:tc>
          <w:tcPr>
            <w:tcW w:w="2070" w:type="dxa"/>
            <w:tcBorders>
              <w:bottom w:val="single" w:sz="4" w:space="0" w:color="auto"/>
            </w:tcBorders>
            <w:tcMar>
              <w:top w:w="28" w:type="dxa"/>
              <w:bottom w:w="28" w:type="dxa"/>
            </w:tcMar>
            <w:vAlign w:val="center"/>
          </w:tcPr>
          <w:p w14:paraId="442E3CCD"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Lower lamination</w:t>
            </w:r>
          </w:p>
        </w:tc>
        <w:tc>
          <w:tcPr>
            <w:tcW w:w="1890" w:type="dxa"/>
            <w:tcBorders>
              <w:bottom w:val="single" w:sz="4" w:space="0" w:color="auto"/>
            </w:tcBorders>
            <w:tcMar>
              <w:top w:w="28" w:type="dxa"/>
              <w:bottom w:w="28" w:type="dxa"/>
            </w:tcMar>
            <w:vAlign w:val="center"/>
          </w:tcPr>
          <w:p w14:paraId="3CDF6EF2"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0" w:type="dxa"/>
            <w:tcBorders>
              <w:bottom w:val="single" w:sz="4" w:space="0" w:color="auto"/>
            </w:tcBorders>
            <w:tcMar>
              <w:top w:w="28" w:type="dxa"/>
              <w:bottom w:w="28" w:type="dxa"/>
            </w:tcMar>
            <w:vAlign w:val="center"/>
          </w:tcPr>
          <w:p w14:paraId="62B01806"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616" w:type="dxa"/>
            <w:tcBorders>
              <w:bottom w:val="single" w:sz="4" w:space="0" w:color="auto"/>
            </w:tcBorders>
            <w:tcMar>
              <w:top w:w="28" w:type="dxa"/>
              <w:bottom w:w="28" w:type="dxa"/>
            </w:tcMar>
            <w:vAlign w:val="center"/>
          </w:tcPr>
          <w:p w14:paraId="18967D6B"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534" w:type="dxa"/>
            <w:tcBorders>
              <w:bottom w:val="single" w:sz="4" w:space="0" w:color="auto"/>
            </w:tcBorders>
            <w:tcMar>
              <w:top w:w="28" w:type="dxa"/>
              <w:bottom w:w="28" w:type="dxa"/>
            </w:tcMar>
            <w:vAlign w:val="center"/>
          </w:tcPr>
          <w:p w14:paraId="6056202D" w14:textId="77777777" w:rsidR="00941ADA" w:rsidRDefault="00941ADA" w:rsidP="005A3F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w:t>
            </w:r>
          </w:p>
        </w:tc>
      </w:tr>
      <w:bookmarkEnd w:id="3"/>
      <w:bookmarkEnd w:id="4"/>
      <w:bookmarkEnd w:id="5"/>
    </w:tbl>
    <w:p w14:paraId="74770A4B" w14:textId="77777777" w:rsidR="00941ADA" w:rsidRDefault="00941ADA" w:rsidP="00C50833">
      <w:pPr>
        <w:rPr>
          <w:rStyle w:val="Hyperlink"/>
          <w:rFonts w:ascii="Times New Roman" w:hAnsi="Times New Roman" w:cs="Times New Roman"/>
          <w:sz w:val="24"/>
          <w:szCs w:val="24"/>
        </w:rPr>
      </w:pPr>
    </w:p>
    <w:sectPr w:rsidR="00941ADA">
      <w:footerReference w:type="default" r:id="rId8"/>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32E48" w15:done="0"/>
  <w15:commentEx w15:paraId="3419D913" w15:done="0"/>
  <w15:commentEx w15:paraId="5EA96EB7" w15:paraIdParent="3419D913" w15:done="0"/>
  <w15:commentEx w15:paraId="57A47B06" w15:done="0"/>
  <w15:commentEx w15:paraId="7B71AA4A" w15:paraIdParent="57A47B06" w15:done="0"/>
  <w15:commentEx w15:paraId="09134E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D8C3" w14:textId="77777777" w:rsidR="00CD5DE8" w:rsidRDefault="00CD5DE8" w:rsidP="00EF2D7F">
      <w:pPr>
        <w:spacing w:after="0" w:line="240" w:lineRule="auto"/>
      </w:pPr>
      <w:r>
        <w:separator/>
      </w:r>
    </w:p>
  </w:endnote>
  <w:endnote w:type="continuationSeparator" w:id="0">
    <w:p w14:paraId="12E0DE9C" w14:textId="77777777" w:rsidR="00CD5DE8" w:rsidRDefault="00CD5DE8" w:rsidP="00EF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AF39" w14:textId="037382C2" w:rsidR="00EF2D7F" w:rsidRPr="00EF2D7F" w:rsidRDefault="00EF2D7F" w:rsidP="00EF2D7F">
    <w:pPr>
      <w:spacing w:line="360" w:lineRule="auto"/>
      <w:ind w:left="363"/>
      <w:jc w:val="both"/>
      <w:rPr>
        <w:rFonts w:ascii="Times New Roman" w:hAnsi="Times New Roman"/>
        <w:sz w:val="24"/>
        <w:szCs w:val="24"/>
        <w:lang w:val="it-IT"/>
      </w:rPr>
    </w:pPr>
    <w:r w:rsidRPr="00010F50">
      <w:rPr>
        <w:rFonts w:ascii="Times New Roman" w:hAnsi="Times New Roman"/>
        <w:sz w:val="24"/>
        <w:szCs w:val="24"/>
        <w:lang w:val="it-IT"/>
      </w:rPr>
      <w:t xml:space="preserve">Lakshminath Kundanati, Stefano Signetti, </w:t>
    </w:r>
    <w:r w:rsidRPr="006E4152">
      <w:rPr>
        <w:rFonts w:ascii="Times New Roman" w:hAnsi="Times New Roman"/>
        <w:sz w:val="24"/>
        <w:szCs w:val="24"/>
        <w:lang w:val="it-IT"/>
      </w:rPr>
      <w:t xml:space="preserve">Himadri </w:t>
    </w:r>
    <w:r>
      <w:rPr>
        <w:rFonts w:ascii="Times New Roman" w:hAnsi="Times New Roman"/>
        <w:sz w:val="24"/>
        <w:szCs w:val="24"/>
        <w:lang w:val="it-IT"/>
      </w:rPr>
      <w:t xml:space="preserve">S. </w:t>
    </w:r>
    <w:r w:rsidRPr="006E4152">
      <w:rPr>
        <w:rFonts w:ascii="Times New Roman" w:hAnsi="Times New Roman"/>
        <w:sz w:val="24"/>
        <w:szCs w:val="24"/>
        <w:lang w:val="it-IT"/>
      </w:rPr>
      <w:t>Gupta</w:t>
    </w:r>
    <w:r>
      <w:rPr>
        <w:rFonts w:ascii="Times New Roman" w:hAnsi="Times New Roman"/>
        <w:sz w:val="24"/>
        <w:szCs w:val="24"/>
        <w:lang w:val="it-IT"/>
      </w:rPr>
      <w:t xml:space="preserve">, </w:t>
    </w:r>
    <w:r w:rsidRPr="00010F50">
      <w:rPr>
        <w:rFonts w:ascii="Times New Roman" w:hAnsi="Times New Roman"/>
        <w:sz w:val="24"/>
        <w:szCs w:val="24"/>
        <w:lang w:val="it-IT"/>
      </w:rPr>
      <w:t>Michele Menegon and Nicola M. Pugno</w:t>
    </w:r>
    <w:r>
      <w:rPr>
        <w:rFonts w:ascii="Times New Roman" w:hAnsi="Times New Roman"/>
        <w:sz w:val="24"/>
        <w:szCs w:val="24"/>
        <w:lang w:val="it-IT"/>
      </w:rPr>
      <w:t xml:space="preserve"> (2018)</w:t>
    </w:r>
    <w:r>
      <w:rPr>
        <w:rFonts w:ascii="Times New Roman" w:hAnsi="Times New Roman"/>
        <w:sz w:val="24"/>
        <w:szCs w:val="24"/>
        <w:vertAlign w:val="superscript"/>
        <w:lang w:val="it-IT"/>
      </w:rPr>
      <w:t xml:space="preserve"> </w:t>
    </w:r>
    <w:r w:rsidRPr="00EF2D7F">
      <w:t xml:space="preserve"> </w:t>
    </w:r>
    <w:r w:rsidRPr="00EF2D7F">
      <w:rPr>
        <w:rFonts w:ascii="Times New Roman" w:hAnsi="Times New Roman"/>
        <w:sz w:val="24"/>
        <w:szCs w:val="24"/>
        <w:lang w:val="it-IT"/>
      </w:rPr>
      <w:t>Multilayer Stag Beetle elytra perform better under external loading via non-symmetric bending properties</w:t>
    </w:r>
    <w:r>
      <w:rPr>
        <w:rFonts w:ascii="Times New Roman" w:hAnsi="Times New Roman"/>
        <w:sz w:val="24"/>
        <w:szCs w:val="24"/>
        <w:lang w:val="it-IT"/>
      </w:rPr>
      <w:t xml:space="preserve"> </w:t>
    </w:r>
    <w:r w:rsidRPr="00EF2D7F">
      <w:rPr>
        <w:rFonts w:ascii="Times New Roman" w:hAnsi="Times New Roman"/>
        <w:i/>
        <w:sz w:val="24"/>
        <w:szCs w:val="24"/>
        <w:lang w:val="it-IT"/>
      </w:rPr>
      <w:t>J.Roc.Soc. Interface</w:t>
    </w:r>
  </w:p>
  <w:p w14:paraId="08399C0F" w14:textId="77777777" w:rsidR="00EF2D7F" w:rsidRDefault="00EF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3560" w14:textId="77777777" w:rsidR="00CD5DE8" w:rsidRDefault="00CD5DE8" w:rsidP="00EF2D7F">
      <w:pPr>
        <w:spacing w:after="0" w:line="240" w:lineRule="auto"/>
      </w:pPr>
      <w:r>
        <w:separator/>
      </w:r>
    </w:p>
  </w:footnote>
  <w:footnote w:type="continuationSeparator" w:id="0">
    <w:p w14:paraId="654130FB" w14:textId="77777777" w:rsidR="00CD5DE8" w:rsidRDefault="00CD5DE8" w:rsidP="00EF2D7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o Signetti">
    <w15:presenceInfo w15:providerId="None" w15:userId="Stefano Sign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0F"/>
    <w:rsid w:val="00030178"/>
    <w:rsid w:val="00047A81"/>
    <w:rsid w:val="00051052"/>
    <w:rsid w:val="000855B3"/>
    <w:rsid w:val="00141DA1"/>
    <w:rsid w:val="00147D87"/>
    <w:rsid w:val="00166AAE"/>
    <w:rsid w:val="00172EC9"/>
    <w:rsid w:val="00187817"/>
    <w:rsid w:val="00196B5F"/>
    <w:rsid w:val="001A100F"/>
    <w:rsid w:val="001B792D"/>
    <w:rsid w:val="001C40CB"/>
    <w:rsid w:val="002067C1"/>
    <w:rsid w:val="00213DAD"/>
    <w:rsid w:val="00236182"/>
    <w:rsid w:val="002762BF"/>
    <w:rsid w:val="002834D9"/>
    <w:rsid w:val="002A44CE"/>
    <w:rsid w:val="002D3716"/>
    <w:rsid w:val="002D4C58"/>
    <w:rsid w:val="002E1688"/>
    <w:rsid w:val="002E6ABC"/>
    <w:rsid w:val="002F31B5"/>
    <w:rsid w:val="00385D94"/>
    <w:rsid w:val="003B7A96"/>
    <w:rsid w:val="003C11B2"/>
    <w:rsid w:val="003C4E37"/>
    <w:rsid w:val="003F6E96"/>
    <w:rsid w:val="004137C8"/>
    <w:rsid w:val="00442B32"/>
    <w:rsid w:val="0047488A"/>
    <w:rsid w:val="004813C0"/>
    <w:rsid w:val="004A065D"/>
    <w:rsid w:val="004B3E59"/>
    <w:rsid w:val="004C6333"/>
    <w:rsid w:val="005848CB"/>
    <w:rsid w:val="005962CE"/>
    <w:rsid w:val="005A3F12"/>
    <w:rsid w:val="005C1D64"/>
    <w:rsid w:val="005C795D"/>
    <w:rsid w:val="005D370C"/>
    <w:rsid w:val="005D51AC"/>
    <w:rsid w:val="00642988"/>
    <w:rsid w:val="00646C78"/>
    <w:rsid w:val="00654193"/>
    <w:rsid w:val="00682A37"/>
    <w:rsid w:val="006B0278"/>
    <w:rsid w:val="006B551E"/>
    <w:rsid w:val="006C6434"/>
    <w:rsid w:val="006E2F70"/>
    <w:rsid w:val="00720B33"/>
    <w:rsid w:val="00721F9C"/>
    <w:rsid w:val="00730FEC"/>
    <w:rsid w:val="007A07BC"/>
    <w:rsid w:val="007A25BE"/>
    <w:rsid w:val="007B04B6"/>
    <w:rsid w:val="007B382A"/>
    <w:rsid w:val="007B535D"/>
    <w:rsid w:val="007E4B3E"/>
    <w:rsid w:val="0081113F"/>
    <w:rsid w:val="00811C33"/>
    <w:rsid w:val="00834311"/>
    <w:rsid w:val="00844D1F"/>
    <w:rsid w:val="008C0698"/>
    <w:rsid w:val="008E7F19"/>
    <w:rsid w:val="00907879"/>
    <w:rsid w:val="00912EA2"/>
    <w:rsid w:val="00941ADA"/>
    <w:rsid w:val="00957F60"/>
    <w:rsid w:val="0097088A"/>
    <w:rsid w:val="0098755F"/>
    <w:rsid w:val="009943EA"/>
    <w:rsid w:val="009945D3"/>
    <w:rsid w:val="00995BEA"/>
    <w:rsid w:val="009B6569"/>
    <w:rsid w:val="009C1246"/>
    <w:rsid w:val="009E7852"/>
    <w:rsid w:val="00A20FEF"/>
    <w:rsid w:val="00A35C77"/>
    <w:rsid w:val="00A4104A"/>
    <w:rsid w:val="00A5424A"/>
    <w:rsid w:val="00A86ADD"/>
    <w:rsid w:val="00AE36B6"/>
    <w:rsid w:val="00B251D7"/>
    <w:rsid w:val="00B53292"/>
    <w:rsid w:val="00B62101"/>
    <w:rsid w:val="00B75D3F"/>
    <w:rsid w:val="00B76632"/>
    <w:rsid w:val="00BB6D34"/>
    <w:rsid w:val="00BC24AF"/>
    <w:rsid w:val="00BC56D0"/>
    <w:rsid w:val="00C44365"/>
    <w:rsid w:val="00C44684"/>
    <w:rsid w:val="00C50833"/>
    <w:rsid w:val="00C64B0E"/>
    <w:rsid w:val="00C9713F"/>
    <w:rsid w:val="00CA1702"/>
    <w:rsid w:val="00CC61D2"/>
    <w:rsid w:val="00CD33A3"/>
    <w:rsid w:val="00CD5DE8"/>
    <w:rsid w:val="00CF706D"/>
    <w:rsid w:val="00D14441"/>
    <w:rsid w:val="00DB3D9F"/>
    <w:rsid w:val="00DF7EB0"/>
    <w:rsid w:val="00E0543E"/>
    <w:rsid w:val="00E34342"/>
    <w:rsid w:val="00E432E2"/>
    <w:rsid w:val="00E46A0F"/>
    <w:rsid w:val="00EB3BFC"/>
    <w:rsid w:val="00EC2AB0"/>
    <w:rsid w:val="00EE494F"/>
    <w:rsid w:val="00EF2D7F"/>
    <w:rsid w:val="00F11B2C"/>
    <w:rsid w:val="00F67FFA"/>
    <w:rsid w:val="00F962B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0E"/>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F"/>
    <w:rPr>
      <w:color w:val="0000FF"/>
      <w:u w:val="single"/>
    </w:rPr>
  </w:style>
  <w:style w:type="table" w:styleId="TableGrid">
    <w:name w:val="Table Grid"/>
    <w:basedOn w:val="TableNormal"/>
    <w:uiPriority w:val="39"/>
    <w:rsid w:val="00030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69"/>
    <w:rPr>
      <w:rFonts w:ascii="Segoe UI" w:hAnsi="Segoe UI" w:cs="Segoe UI"/>
      <w:sz w:val="18"/>
      <w:szCs w:val="18"/>
      <w:lang w:val="en-IN"/>
    </w:rPr>
  </w:style>
  <w:style w:type="paragraph" w:styleId="ListParagraph">
    <w:name w:val="List Paragraph"/>
    <w:basedOn w:val="Normal"/>
    <w:uiPriority w:val="34"/>
    <w:qFormat/>
    <w:rsid w:val="002067C1"/>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0855B3"/>
    <w:rPr>
      <w:sz w:val="16"/>
      <w:szCs w:val="16"/>
    </w:rPr>
  </w:style>
  <w:style w:type="paragraph" w:styleId="CommentText">
    <w:name w:val="annotation text"/>
    <w:basedOn w:val="Normal"/>
    <w:link w:val="CommentTextChar"/>
    <w:uiPriority w:val="99"/>
    <w:semiHidden/>
    <w:unhideWhenUsed/>
    <w:rsid w:val="000855B3"/>
    <w:pPr>
      <w:spacing w:line="240" w:lineRule="auto"/>
    </w:pPr>
    <w:rPr>
      <w:sz w:val="20"/>
      <w:szCs w:val="20"/>
    </w:rPr>
  </w:style>
  <w:style w:type="character" w:customStyle="1" w:styleId="CommentTextChar">
    <w:name w:val="Comment Text Char"/>
    <w:basedOn w:val="DefaultParagraphFont"/>
    <w:link w:val="CommentText"/>
    <w:uiPriority w:val="99"/>
    <w:semiHidden/>
    <w:rsid w:val="000855B3"/>
    <w:rPr>
      <w:sz w:val="20"/>
      <w:szCs w:val="20"/>
      <w:lang w:val="en-IN"/>
    </w:rPr>
  </w:style>
  <w:style w:type="paragraph" w:styleId="CommentSubject">
    <w:name w:val="annotation subject"/>
    <w:basedOn w:val="CommentText"/>
    <w:next w:val="CommentText"/>
    <w:link w:val="CommentSubjectChar"/>
    <w:uiPriority w:val="99"/>
    <w:semiHidden/>
    <w:unhideWhenUsed/>
    <w:rsid w:val="000855B3"/>
    <w:rPr>
      <w:b/>
      <w:bCs/>
    </w:rPr>
  </w:style>
  <w:style w:type="character" w:customStyle="1" w:styleId="CommentSubjectChar">
    <w:name w:val="Comment Subject Char"/>
    <w:basedOn w:val="CommentTextChar"/>
    <w:link w:val="CommentSubject"/>
    <w:uiPriority w:val="99"/>
    <w:semiHidden/>
    <w:rsid w:val="000855B3"/>
    <w:rPr>
      <w:b/>
      <w:bCs/>
      <w:sz w:val="20"/>
      <w:szCs w:val="20"/>
      <w:lang w:val="en-IN"/>
    </w:rPr>
  </w:style>
  <w:style w:type="paragraph" w:styleId="Revision">
    <w:name w:val="Revision"/>
    <w:hidden/>
    <w:uiPriority w:val="99"/>
    <w:semiHidden/>
    <w:rsid w:val="00BC56D0"/>
    <w:pPr>
      <w:spacing w:after="0" w:line="240" w:lineRule="auto"/>
    </w:pPr>
    <w:rPr>
      <w:lang w:val="en-IN"/>
    </w:rPr>
  </w:style>
  <w:style w:type="paragraph" w:styleId="Header">
    <w:name w:val="header"/>
    <w:basedOn w:val="Normal"/>
    <w:link w:val="HeaderChar"/>
    <w:uiPriority w:val="99"/>
    <w:unhideWhenUsed/>
    <w:rsid w:val="00EF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7F"/>
    <w:rPr>
      <w:lang w:val="en-IN"/>
    </w:rPr>
  </w:style>
  <w:style w:type="paragraph" w:styleId="Footer">
    <w:name w:val="footer"/>
    <w:basedOn w:val="Normal"/>
    <w:link w:val="FooterChar"/>
    <w:uiPriority w:val="99"/>
    <w:unhideWhenUsed/>
    <w:rsid w:val="00EF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7F"/>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0E"/>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F"/>
    <w:rPr>
      <w:color w:val="0000FF"/>
      <w:u w:val="single"/>
    </w:rPr>
  </w:style>
  <w:style w:type="table" w:styleId="TableGrid">
    <w:name w:val="Table Grid"/>
    <w:basedOn w:val="TableNormal"/>
    <w:uiPriority w:val="39"/>
    <w:rsid w:val="00030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69"/>
    <w:rPr>
      <w:rFonts w:ascii="Segoe UI" w:hAnsi="Segoe UI" w:cs="Segoe UI"/>
      <w:sz w:val="18"/>
      <w:szCs w:val="18"/>
      <w:lang w:val="en-IN"/>
    </w:rPr>
  </w:style>
  <w:style w:type="paragraph" w:styleId="ListParagraph">
    <w:name w:val="List Paragraph"/>
    <w:basedOn w:val="Normal"/>
    <w:uiPriority w:val="34"/>
    <w:qFormat/>
    <w:rsid w:val="002067C1"/>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0855B3"/>
    <w:rPr>
      <w:sz w:val="16"/>
      <w:szCs w:val="16"/>
    </w:rPr>
  </w:style>
  <w:style w:type="paragraph" w:styleId="CommentText">
    <w:name w:val="annotation text"/>
    <w:basedOn w:val="Normal"/>
    <w:link w:val="CommentTextChar"/>
    <w:uiPriority w:val="99"/>
    <w:semiHidden/>
    <w:unhideWhenUsed/>
    <w:rsid w:val="000855B3"/>
    <w:pPr>
      <w:spacing w:line="240" w:lineRule="auto"/>
    </w:pPr>
    <w:rPr>
      <w:sz w:val="20"/>
      <w:szCs w:val="20"/>
    </w:rPr>
  </w:style>
  <w:style w:type="character" w:customStyle="1" w:styleId="CommentTextChar">
    <w:name w:val="Comment Text Char"/>
    <w:basedOn w:val="DefaultParagraphFont"/>
    <w:link w:val="CommentText"/>
    <w:uiPriority w:val="99"/>
    <w:semiHidden/>
    <w:rsid w:val="000855B3"/>
    <w:rPr>
      <w:sz w:val="20"/>
      <w:szCs w:val="20"/>
      <w:lang w:val="en-IN"/>
    </w:rPr>
  </w:style>
  <w:style w:type="paragraph" w:styleId="CommentSubject">
    <w:name w:val="annotation subject"/>
    <w:basedOn w:val="CommentText"/>
    <w:next w:val="CommentText"/>
    <w:link w:val="CommentSubjectChar"/>
    <w:uiPriority w:val="99"/>
    <w:semiHidden/>
    <w:unhideWhenUsed/>
    <w:rsid w:val="000855B3"/>
    <w:rPr>
      <w:b/>
      <w:bCs/>
    </w:rPr>
  </w:style>
  <w:style w:type="character" w:customStyle="1" w:styleId="CommentSubjectChar">
    <w:name w:val="Comment Subject Char"/>
    <w:basedOn w:val="CommentTextChar"/>
    <w:link w:val="CommentSubject"/>
    <w:uiPriority w:val="99"/>
    <w:semiHidden/>
    <w:rsid w:val="000855B3"/>
    <w:rPr>
      <w:b/>
      <w:bCs/>
      <w:sz w:val="20"/>
      <w:szCs w:val="20"/>
      <w:lang w:val="en-IN"/>
    </w:rPr>
  </w:style>
  <w:style w:type="paragraph" w:styleId="Revision">
    <w:name w:val="Revision"/>
    <w:hidden/>
    <w:uiPriority w:val="99"/>
    <w:semiHidden/>
    <w:rsid w:val="00BC56D0"/>
    <w:pPr>
      <w:spacing w:after="0" w:line="240" w:lineRule="auto"/>
    </w:pPr>
    <w:rPr>
      <w:lang w:val="en-IN"/>
    </w:rPr>
  </w:style>
  <w:style w:type="paragraph" w:styleId="Header">
    <w:name w:val="header"/>
    <w:basedOn w:val="Normal"/>
    <w:link w:val="HeaderChar"/>
    <w:uiPriority w:val="99"/>
    <w:unhideWhenUsed/>
    <w:rsid w:val="00EF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7F"/>
    <w:rPr>
      <w:lang w:val="en-IN"/>
    </w:rPr>
  </w:style>
  <w:style w:type="paragraph" w:styleId="Footer">
    <w:name w:val="footer"/>
    <w:basedOn w:val="Normal"/>
    <w:link w:val="FooterChar"/>
    <w:uiPriority w:val="99"/>
    <w:unhideWhenUsed/>
    <w:rsid w:val="00EF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7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0105">
      <w:bodyDiv w:val="1"/>
      <w:marLeft w:val="0"/>
      <w:marRight w:val="0"/>
      <w:marTop w:val="0"/>
      <w:marBottom w:val="0"/>
      <w:divBdr>
        <w:top w:val="none" w:sz="0" w:space="0" w:color="auto"/>
        <w:left w:val="none" w:sz="0" w:space="0" w:color="auto"/>
        <w:bottom w:val="none" w:sz="0" w:space="0" w:color="auto"/>
        <w:right w:val="none" w:sz="0" w:space="0" w:color="auto"/>
      </w:divBdr>
    </w:div>
    <w:div w:id="683441808">
      <w:bodyDiv w:val="1"/>
      <w:marLeft w:val="0"/>
      <w:marRight w:val="0"/>
      <w:marTop w:val="0"/>
      <w:marBottom w:val="0"/>
      <w:divBdr>
        <w:top w:val="none" w:sz="0" w:space="0" w:color="auto"/>
        <w:left w:val="none" w:sz="0" w:space="0" w:color="auto"/>
        <w:bottom w:val="none" w:sz="0" w:space="0" w:color="auto"/>
        <w:right w:val="none" w:sz="0" w:space="0" w:color="auto"/>
      </w:divBdr>
    </w:div>
    <w:div w:id="11155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25EC-10A0-4C34-BAF8-69217FF0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Signetti</dc:creator>
  <cp:lastModifiedBy>LK</cp:lastModifiedBy>
  <cp:revision>4</cp:revision>
  <cp:lastPrinted>2018-06-09T09:52:00Z</cp:lastPrinted>
  <dcterms:created xsi:type="dcterms:W3CDTF">2018-06-22T17:24:00Z</dcterms:created>
  <dcterms:modified xsi:type="dcterms:W3CDTF">2018-06-22T17:34:00Z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http://www.zotero.org/styles/advanced-functional-materials</vt:lpwstr>
  </property>
  <property fmtid="{D5CDD505-2E9C-101B-9397-08002B2CF9AE}" pid="3" name="Mendeley Recent Style Name 0_1">
    <vt:lpwstr>Advanced Functional Materials</vt:lpwstr>
  </property>
  <property fmtid="{D5CDD505-2E9C-101B-9397-08002B2CF9AE}" pid="4" name="Mendeley Recent Style Id 1_1">
    <vt:lpwstr>http://www.zotero.org/styles/american-chemical-society-with-titles-no-et-al</vt:lpwstr>
  </property>
  <property fmtid="{D5CDD505-2E9C-101B-9397-08002B2CF9AE}" pid="5" name="Mendeley Recent Style Name 1_1">
    <vt:lpwstr>American Chemical Society (with titles, no "et al.")</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16th edition (full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http://www.zotero.org/styles/the-journal-of-experimental-biology</vt:lpwstr>
  </property>
  <property fmtid="{D5CDD505-2E9C-101B-9397-08002B2CF9AE}" pid="21" name="Mendeley Recent Style Name 9_1">
    <vt:lpwstr>The Journal of Experimental Biology</vt:lpwstr>
  </property>
</Properties>
</file>