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6DE7" w:rsidRDefault="00BA5CBD">
      <w:pPr>
        <w:jc w:val="both"/>
        <w:rPr>
          <w:b/>
          <w:bCs/>
          <w:sz w:val="28"/>
          <w:szCs w:val="28"/>
        </w:rPr>
      </w:pPr>
      <w:r>
        <w:rPr>
          <w:b/>
          <w:bCs/>
          <w:sz w:val="28"/>
          <w:szCs w:val="28"/>
        </w:rPr>
        <w:t xml:space="preserve">Supporting Information               </w:t>
      </w:r>
    </w:p>
    <w:p w:rsidR="00556DE7" w:rsidRDefault="00BA5CBD">
      <w:pPr>
        <w:spacing w:line="480" w:lineRule="auto"/>
        <w:jc w:val="center"/>
      </w:pPr>
      <w:bookmarkStart w:id="0" w:name="OLE_LINK7"/>
      <w:bookmarkStart w:id="1" w:name="OLE_LINK6"/>
      <w:r w:rsidRPr="007D0505">
        <w:rPr>
          <w:lang w:val="de-DE"/>
        </w:rPr>
        <w:t>Mehdi Behroozi*</w:t>
      </w:r>
      <w:r w:rsidRPr="007D0505">
        <w:rPr>
          <w:vertAlign w:val="superscript"/>
          <w:lang w:val="de-DE"/>
        </w:rPr>
        <w:t>1</w:t>
      </w:r>
      <w:r w:rsidRPr="007D0505">
        <w:rPr>
          <w:lang w:val="de-DE"/>
        </w:rPr>
        <w:t>, Brendon K. Billings*</w:t>
      </w:r>
      <w:r w:rsidRPr="007D0505">
        <w:rPr>
          <w:vertAlign w:val="superscript"/>
          <w:lang w:val="de-DE"/>
        </w:rPr>
        <w:t>2</w:t>
      </w:r>
      <w:r w:rsidRPr="007D0505">
        <w:rPr>
          <w:lang w:val="de-DE"/>
        </w:rPr>
        <w:t>, Xavier Helluy</w:t>
      </w:r>
      <w:r w:rsidRPr="007D0505">
        <w:rPr>
          <w:vertAlign w:val="superscript"/>
          <w:lang w:val="de-DE"/>
        </w:rPr>
        <w:t>1,3</w:t>
      </w:r>
      <w:r w:rsidRPr="007D0505">
        <w:rPr>
          <w:lang w:val="de-DE"/>
        </w:rPr>
        <w:t>, Paul R. Manger</w:t>
      </w:r>
      <w:r w:rsidRPr="007D0505">
        <w:rPr>
          <w:vertAlign w:val="superscript"/>
          <w:lang w:val="de-DE"/>
        </w:rPr>
        <w:t>2</w:t>
      </w:r>
      <w:r w:rsidRPr="007D0505">
        <w:rPr>
          <w:lang w:val="de-DE"/>
        </w:rPr>
        <w:t>, Onur Güntürkün</w:t>
      </w:r>
      <w:r w:rsidRPr="007D0505">
        <w:rPr>
          <w:vertAlign w:val="superscript"/>
          <w:lang w:val="de-DE"/>
        </w:rPr>
        <w:t>1,4</w:t>
      </w:r>
      <w:r w:rsidRPr="007D0505">
        <w:rPr>
          <w:lang w:val="de-DE"/>
        </w:rPr>
        <w:t>, and Felix Ströckens</w:t>
      </w:r>
      <w:r w:rsidRPr="007D0505">
        <w:rPr>
          <w:vertAlign w:val="superscript"/>
          <w:lang w:val="de-DE"/>
        </w:rPr>
        <w:t>1</w:t>
      </w:r>
      <w:r w:rsidRPr="007D0505">
        <w:rPr>
          <w:lang w:val="de-DE"/>
        </w:rPr>
        <w:t xml:space="preserve">. </w:t>
      </w:r>
      <w:r>
        <w:t>Functional MRI in the Nile crocodile: A new avenue for evolutionary neurobiology</w:t>
      </w:r>
      <w:bookmarkEnd w:id="0"/>
      <w:bookmarkEnd w:id="1"/>
      <w:r>
        <w:t xml:space="preserve">. </w:t>
      </w:r>
      <w:r>
        <w:rPr>
          <w:i/>
          <w:iCs/>
        </w:rPr>
        <w:t xml:space="preserve">Proceeding of the </w:t>
      </w:r>
      <w:r>
        <w:rPr>
          <w:i/>
          <w:iCs/>
        </w:rPr>
        <w:t>Royal Society B.</w:t>
      </w:r>
      <w:r>
        <w:t xml:space="preserve"> doi: 10.1098/rspb.2018.0178</w:t>
      </w:r>
    </w:p>
    <w:p w:rsidR="00556DE7" w:rsidRDefault="00BA5CBD">
      <w:pPr>
        <w:jc w:val="both"/>
        <w:rPr>
          <w:b/>
          <w:bCs/>
          <w:sz w:val="28"/>
          <w:szCs w:val="28"/>
        </w:rPr>
      </w:pPr>
      <w:r>
        <w:rPr>
          <w:b/>
          <w:bCs/>
          <w:sz w:val="28"/>
          <w:szCs w:val="28"/>
        </w:rPr>
        <w:t>Supplementary methods</w:t>
      </w:r>
    </w:p>
    <w:p w:rsidR="00556DE7" w:rsidRDefault="00BA5CBD">
      <w:pPr>
        <w:spacing w:after="0" w:line="360" w:lineRule="auto"/>
        <w:jc w:val="both"/>
      </w:pPr>
      <w:r>
        <w:rPr>
          <w:b/>
          <w:bCs/>
          <w:i/>
          <w:iCs/>
        </w:rPr>
        <w:t>Preparation of Crocodiles</w:t>
      </w:r>
      <w:r>
        <w:rPr>
          <w:rFonts w:asciiTheme="minorBidi" w:hAnsiTheme="minorBidi"/>
          <w:b/>
          <w:bCs/>
          <w:i/>
          <w:iCs/>
        </w:rPr>
        <w:t xml:space="preserve">: </w:t>
      </w:r>
      <w:r>
        <w:t>Five juvenile Nile crocodiles (</w:t>
      </w:r>
      <w:r>
        <w:rPr>
          <w:i/>
        </w:rPr>
        <w:t>Crocodylus niloticus</w:t>
      </w:r>
      <w:r>
        <w:t xml:space="preserve">, body length 61-73 cm), supplied by the </w:t>
      </w:r>
      <w:r>
        <w:rPr>
          <w:rFonts w:cs="Times New Roman"/>
        </w:rPr>
        <w:t>crocodile</w:t>
      </w:r>
      <w:r>
        <w:t xml:space="preserve"> farm “La ferme aux crocodiles” (</w:t>
      </w:r>
      <w:r>
        <w:rPr>
          <w:rStyle w:val="xbe"/>
        </w:rPr>
        <w:t>Pierrelatte, France</w:t>
      </w:r>
      <w:r>
        <w:t>) and hou</w:t>
      </w:r>
      <w:r>
        <w:t>sed in the zoo of Bochum were used in this study. All animals were returned to the crocodile farm after the experiments. Crocodiles were housed together in a 200 cm x 250 cm terrarium containing both water and land sections, specifically designed to accomm</w:t>
      </w:r>
      <w:r>
        <w:t>odate their natural environment to keep stress levels low. Air and water temperature within the terrarium were kept constant at 24˚C and 26˚C, respectively. Humidity was kept at 60%. Animals were fed two times a week with chicken or fish. Since animals nev</w:t>
      </w:r>
      <w:r>
        <w:t xml:space="preserve">er finished all of the food offered, we assume that they were fully sated when entering the experiment. Before the experiments, </w:t>
      </w:r>
      <w:r>
        <w:rPr>
          <w:rFonts w:cs="Times New Roman"/>
        </w:rPr>
        <w:t>individual</w:t>
      </w:r>
      <w:r>
        <w:t xml:space="preserve"> animals were transported to the scanner center of Bochum University in an insulated transport box. Before the scans, </w:t>
      </w:r>
      <w:r>
        <w:t>animals were mildly sedated with an intramuscular injection of medetomidine (0.5-1 mg/kg) on the ventral aspect of the tail. Previous studies have shown that medetomidine, an α-2 adrenergic agonist, has only a weak effect on BOLD signals and is thus widely</w:t>
      </w:r>
      <w:r>
        <w:t xml:space="preserve"> used in fMRI studies </w:t>
      </w:r>
      <w:r>
        <w:fldChar w:fldCharType="begin"/>
      </w:r>
      <w:r>
        <w:instrText>ADDIN CSL_CITATION { "citationItems" : [ { "id" : "ITEM-1", "itemData" : { "DOI" : "10.1016/j.neuroimage.2009.03.004", "ISSN" : "1095-9572", "PMID" : "19285560", "abstract" : "The alpha-2-adrenoreceptor agonist, medetomidine, which ex</w:instrText>
      </w:r>
      <w:r>
        <w:instrText>hibits dose-dependent sedative effects and is gaining acceptance in small-animal functional magnetic resonance imaging (fMRI), has been studied. Rats were examined on the bench using the classic tail-pinch method with three infusion sequences: 100 microg/k</w:instrText>
      </w:r>
      <w:r>
        <w:instrText>g/h, 300 microg/kg/h, or 100 microg/kg/h followed by 300 microg/kg/h. Stepping the infusion rate from 100 to 300 microg/kg/h after 2.5 h resulted in a prolonged period of approximately level sedation that cannot be achieved by a constant infusion of either</w:instrText>
      </w:r>
      <w:r>
        <w:instrText xml:space="preserve"> 100 or 300 microg/kg/h. By stepping the infusion dosage, experiments as long as 6 h are possible. Functional MRI experiments were carried out on rats using a frequency dependent electrical stimulation protocol-namely, forepaw stimulation at 3, 5, 7, and 1</w:instrText>
      </w:r>
      <w:r>
        <w:instrText>0 Hz. Each rat was studied for a four-hour period, divided into two equal portions. During the first portion, rats were started at a 100 microg/kg/h constant infusion. During the second portion, four secondary levels of infusion were used: 100, 150, 200, a</w:instrText>
      </w:r>
      <w:r>
        <w:instrText>nd 300 microg/kg/h. The fMRI response to stimulation frequency was used as an indirect measure of modulation of neuronal activity through pharmacological manipulation. The frequency response to stimulus was attenuated at the lower secondary infusion dosage</w:instrText>
      </w:r>
      <w:r>
        <w:instrText>s 100 or 150 microg/kg/h but not at the higher secondary infusion dosages 200 or 300 microg/kg/h. Parallel experiments with the animal at rest were carried out using both electroencephalogram (EEG) and functional connectivity MRI (fcMRI) methods with consi</w:instrText>
      </w:r>
      <w:r>
        <w:instrText>stent results. In the secondary infusion period using 300 microg/kg/h, resting-state functional connectivity is enhanced.", "author" : [ { "dropping-particle" : "", "family" : "Pawela", "given" : "Christopher P", "non-dropping-particle" : "", "parse-names"</w:instrText>
      </w:r>
      <w:r>
        <w:instrText xml:space="preserve"> : false, "suffix" : "" }, { "dropping-particle" : "", "family" : "Biswal", "given" : "Bharat B", "non-dropping-particle" : "", "parse-names" : false, "suffix" : "" }, { "dropping-particle" : "", "family" : "Hudetz", "given" : "Anthony G", "non-dropping-pa</w:instrText>
      </w:r>
      <w:r>
        <w:instrText>rticle" : "", "parse-names" : false, "suffix" : "" }, { "dropping-particle" : "", "family" : "Schulte", "given" : "Marie L", "non-dropping-particle" : "", "parse-names" : false, "suffix" : "" }, { "dropping-particle" : "", "family" : "Li", "given" : "Rupen</w:instrText>
      </w:r>
      <w:r>
        <w:instrText>g", "non-dropping-particle" : "", "parse-names" : false, "suffix" : "" }, { "dropping-particle" : "", "family" : "Jones", "given" : "Seth R", "non-dropping-particle" : "", "parse-names" : false, "suffix" : "" }, { "dropping-particle" : "", "family" : "Cho"</w:instrText>
      </w:r>
      <w:r>
        <w:instrText>, "given" : "Younghoon R", "non-dropping-particle" : "", "parse-names" : false, "suffix" : "" }, { "dropping-particle" : "", "family" : "Matloub", "given" : "Hani S", "non-dropping-particle" : "", "parse-names" : false, "suffix" : "" }, { "dropping-particl</w:instrText>
      </w:r>
      <w:r>
        <w:instrText>e" : "", "family" : "Hyde", "given" : "James S", "non-dropping-particle" : "", "parse-names" : false, "suffix" : "" } ], "container-title" : "NeuroImage", "id" : "ITEM-1", "issue" : "4", "issued" : { "date-parts" : [ [ "2009", "7", "15" ] ] }, "page" : "11</w:instrText>
      </w:r>
      <w:r>
        <w:instrText>37-47", "publisher" : "NIH Public Access", "title" : "A protocol for use of medetomidine anesthesia in rats for extended studies using task-induced BOLD contrast and resting-state functional connectivity.", "type" : "article-journal", "volume" : "46" }, "u</w:instrText>
      </w:r>
      <w:r>
        <w:instrText>ris" : [ "http://www.mendeley.com/documents/?uuid=4e576602-ab7d-3a76-b9a1-afd8d777d67c" ] } ], "mendeley" : { "formattedCitation" : "[1]", "plainTextFormattedCitation" : "[1]", "previouslyFormattedCitation" : "[69]" }, "properties" : {  }, "schema" : "http</w:instrText>
      </w:r>
      <w:r>
        <w:instrText>s://github.com/citation-style-language/schema/raw/master/csl-citation.json" }</w:instrText>
      </w:r>
      <w:r>
        <w:fldChar w:fldCharType="separate"/>
      </w:r>
      <w:bookmarkStart w:id="2" w:name="__Fieldmark__40_3916728419"/>
      <w:r>
        <w:t>[1]</w:t>
      </w:r>
      <w:r>
        <w:fldChar w:fldCharType="end"/>
      </w:r>
      <w:bookmarkEnd w:id="2"/>
      <w:r>
        <w:t xml:space="preserve">. The animal was then placed in a closed Styrofoam box on a heating blanket for 30 min to limit physiological stress and increase the efficacy of drug delivery. The animals </w:t>
      </w:r>
      <w:r>
        <w:t xml:space="preserve">were then secured in a custom made holding device which was placed in the scanner (Fig. 1A). Post scanning, animals received intramuscular injections of </w:t>
      </w:r>
      <w:r>
        <w:rPr>
          <w:rStyle w:val="st"/>
        </w:rPr>
        <w:t>Atipamezol (Antisedan©, 1 mg/kg)</w:t>
      </w:r>
      <w:r>
        <w:t xml:space="preserve"> in the forelimb to counteract the effects of sedation. After returning</w:t>
      </w:r>
      <w:r>
        <w:t xml:space="preserve"> the animal to the zoo, it was kept in a separate terrarium for 24h to allow a complete recovery from sedation.</w:t>
      </w:r>
    </w:p>
    <w:p w:rsidR="00556DE7" w:rsidRDefault="00556DE7">
      <w:pPr>
        <w:jc w:val="both"/>
        <w:rPr>
          <w:b/>
          <w:bCs/>
          <w:sz w:val="28"/>
          <w:szCs w:val="28"/>
        </w:rPr>
      </w:pPr>
    </w:p>
    <w:p w:rsidR="00556DE7" w:rsidRDefault="00BA5CBD">
      <w:pPr>
        <w:jc w:val="both"/>
        <w:rPr>
          <w:b/>
          <w:bCs/>
          <w:sz w:val="28"/>
          <w:szCs w:val="28"/>
        </w:rPr>
      </w:pPr>
      <w:r>
        <w:rPr>
          <w:b/>
          <w:bCs/>
          <w:sz w:val="28"/>
          <w:szCs w:val="28"/>
        </w:rPr>
        <w:t>MRI protocols</w:t>
      </w:r>
    </w:p>
    <w:p w:rsidR="00556DE7" w:rsidRDefault="00BA5CBD">
      <w:pPr>
        <w:spacing w:after="0" w:line="360" w:lineRule="auto"/>
        <w:jc w:val="both"/>
      </w:pPr>
      <w:r>
        <w:t xml:space="preserve">Before running </w:t>
      </w:r>
      <w:r>
        <w:t xml:space="preserve">the </w:t>
      </w:r>
      <w:r>
        <w:t xml:space="preserve">anatomical and </w:t>
      </w:r>
      <w:r>
        <w:t xml:space="preserve">functional sequences, we </w:t>
      </w:r>
      <w:r>
        <w:t xml:space="preserve">measured </w:t>
      </w:r>
      <w:r>
        <w:t>the longitudin</w:t>
      </w:r>
      <w:r>
        <w:t>al (T</w:t>
      </w:r>
      <w:r>
        <w:rPr>
          <w:vertAlign w:val="subscript"/>
        </w:rPr>
        <w:t>1</w:t>
      </w:r>
      <w:r>
        <w:t>) and transverse (T</w:t>
      </w:r>
      <w:r>
        <w:rPr>
          <w:vertAlign w:val="subscript"/>
        </w:rPr>
        <w:t>2</w:t>
      </w:r>
      <w:r>
        <w:t xml:space="preserve"> and T</w:t>
      </w:r>
      <w:r>
        <w:rPr>
          <w:vertAlign w:val="subscript"/>
        </w:rPr>
        <w:t>2</w:t>
      </w:r>
      <w:r>
        <w:t>*) relaxation times of crocodile brain tissue using exactly the same imaging parameters as in [2]</w:t>
      </w:r>
      <w:r>
        <w:t xml:space="preserve"> in order to </w:t>
      </w:r>
      <w:r>
        <w:t>optimize</w:t>
      </w:r>
      <w:r>
        <w:t xml:space="preserve"> the</w:t>
      </w:r>
      <w:r>
        <w:t xml:space="preserve"> </w:t>
      </w:r>
      <w:r>
        <w:t xml:space="preserve">tissue </w:t>
      </w:r>
      <w:r>
        <w:t xml:space="preserve">contrast in the anatomical </w:t>
      </w:r>
      <w:r>
        <w:t xml:space="preserve">RARE images and the BOLD sensitivity </w:t>
      </w:r>
      <w:r>
        <w:t xml:space="preserve">of the </w:t>
      </w:r>
      <w:r>
        <w:t>GE-EPI sequence</w:t>
      </w:r>
      <w:r>
        <w:t>.</w:t>
      </w:r>
      <w:r>
        <w:fldChar w:fldCharType="begin"/>
      </w:r>
      <w:r>
        <w:instrText>ADDIN CSL_CITATION { "citationItems" : [ { "id" : "ITEM-1", "itemData" : { "DOI" : "10.1</w:instrText>
      </w:r>
      <w:r>
        <w:instrText>002/mrm.26722", "author" : [ { "dropping-particle" : "", "family" : "Behroozi", "given" : "Mehdi", "non-dropping-particle" : "", "parse-names" : false, "suffix" : "" }, { "dropping-particle" : "", "family" : "Chwiesko", "given" : "Caroline", "non-dropping-</w:instrText>
      </w:r>
      <w:r>
        <w:instrText>particle" : "", "parse-names" : false, "suffix" : "" }, { "dropping-particle" : "", "family" : "Str\u00f6ckens", "given" : "Felix", "non-dropping-particle" : "", "parse-names" : false, "suffix" : "" }, { "dropping-particle" : "", "family" : "Sauvage", "giv</w:instrText>
      </w:r>
      <w:r>
        <w:instrText xml:space="preserve">en" : "Magdalena", "non-dropping-particle" : "", "parse-names" : false, "suffix" : "" }, { "dropping-particle" : "", "family" : "Helluy", "given" : "Xavier", "non-dropping-particle" : "", "parse-names" : false, "suffix" : "" }, { "dropping-particle" : "", </w:instrText>
      </w:r>
      <w:r>
        <w:instrText>"family" : "Peterburs", "given" : "Jutta", "non-dropping-particle" : "", "parse-names" : false, "suffix" : "" }, { "dropping-particle" : "", "family" : "G\u00fcnt\u00fcrk\u00fcn", "given" : "Onur", "non-dropping-particle" : "", "parse-names" : false, "suff</w:instrText>
      </w:r>
      <w:r>
        <w:instrText>ix" : "" } ], "container-title" : "Magnetic Resonance in Medicine", "id" : "ITEM-1", "issued" : { "date-parts" : [ [ "2017", "5" ] ] }, "title" : "In vivo measurement of T1 and T2 relaxation times in awake pigeon and rat brains at 7T", "type" : "article-jo</w:instrText>
      </w:r>
      <w:r>
        <w:instrText>urnal" }, "uris" : [ "http://www.mendeley.com/documents/?uuid=e90864af-3509-36e1-9d81-c07b0f392c31" ] } ], "mendeley" : { "formattedCitation" : "[2]", "plainTextFormattedCitation" : "[2]", "previouslyFormattedCitation" : "[1]" }, "properties" : {  }, "sche</w:instrText>
      </w:r>
      <w:r>
        <w:instrText>ma" : "https://github.com/citation-style-language/schema/raw/master/csl-citation.json" }</w:instrText>
      </w:r>
      <w:r>
        <w:fldChar w:fldCharType="separate"/>
      </w:r>
      <w:bookmarkStart w:id="3" w:name="__Fieldmark__83_3916728419"/>
      <w:r>
        <w:fldChar w:fldCharType="end"/>
      </w:r>
      <w:bookmarkEnd w:id="3"/>
    </w:p>
    <w:p w:rsidR="00556DE7" w:rsidRDefault="00BA5CBD">
      <w:pPr>
        <w:spacing w:after="0" w:line="360" w:lineRule="auto"/>
        <w:jc w:val="both"/>
      </w:pPr>
      <w:r>
        <w:t>As in</w:t>
      </w:r>
      <w:r>
        <w:t xml:space="preserve"> [2], </w:t>
      </w:r>
      <w:r>
        <w:t>T1 measurements were carried out using a multiple spin echo saturation recovery method with variable TR (RAREVTR). The following imaging parameters w</w:t>
      </w:r>
      <w:r>
        <w:t xml:space="preserve">ere used: effective echo time (TE) = </w:t>
      </w:r>
      <w:r>
        <w:lastRenderedPageBreak/>
        <w:t>53.3 ms; TR-array = 0.300, 0.530, 0.800, 1.100, 1.460, 1.900, 2.460, 3.250, 4.570, 10s; number of average = 2; RARE factor = 14; matrix size = 256×256; field of view (FoV) = 40×40 mm</w:t>
      </w:r>
      <w:r>
        <w:rPr>
          <w:vertAlign w:val="superscript"/>
        </w:rPr>
        <w:t>2</w:t>
      </w:r>
      <w:r>
        <w:t xml:space="preserve">; slice thickness = 1 mm; number of </w:t>
      </w:r>
      <w:r>
        <w:t>slices = 1 coronal slice (to avoid interslice signal modulation); read orientation = Left-Right (L-R). The total acquisition time for T1 measurements was 15 min 50 s.</w:t>
      </w:r>
    </w:p>
    <w:p w:rsidR="00556DE7" w:rsidRDefault="00BA5CBD">
      <w:pPr>
        <w:spacing w:after="0" w:line="360" w:lineRule="auto"/>
        <w:jc w:val="both"/>
      </w:pPr>
      <w:r>
        <w:t>T2 values were measured using the Bruker MSME sequence. Imaging parameters were as follow</w:t>
      </w:r>
      <w:r>
        <w:t xml:space="preserve">s: repetition time (TR) = 3s with an effective spatial bandwidth of 60 kHz; no averaging; number of slices = 1; number of echoes = 16 with first echo time = 10.73ms. The geometry was kept identical to the geometry in T1 measurements. The total acquisition </w:t>
      </w:r>
      <w:r>
        <w:t>time to measure T2 images was 12 min 48 s.</w:t>
      </w:r>
    </w:p>
    <w:p w:rsidR="00556DE7" w:rsidRDefault="00BA5CBD">
      <w:pPr>
        <w:spacing w:after="0" w:line="360" w:lineRule="auto"/>
        <w:jc w:val="both"/>
      </w:pPr>
      <w:r>
        <w:t>For T</w:t>
      </w:r>
      <w:r>
        <w:rPr>
          <w:vertAlign w:val="subscript"/>
        </w:rPr>
        <w:t>2</w:t>
      </w:r>
      <w:r>
        <w:rPr>
          <w:vertAlign w:val="superscript"/>
        </w:rPr>
        <w:t>*</w:t>
      </w:r>
      <w:r>
        <w:t xml:space="preserve"> measurements the multiple gradient echo (MGE) sequence of Bruker was used with TR=2.5 s; first echo time = 3 ms; echo spacing = 4 ms; number of echo images = 20; Excitation pulse angle = 60</w:t>
      </w:r>
      <w:r>
        <w:rPr>
          <w:vertAlign w:val="superscript"/>
        </w:rPr>
        <w:t>o</w:t>
      </w:r>
      <w:r>
        <w:t xml:space="preserve">. The geometry </w:t>
      </w:r>
      <w:r>
        <w:t>was kept identical to the geometry in T</w:t>
      </w:r>
      <w:r>
        <w:rPr>
          <w:vertAlign w:val="subscript"/>
        </w:rPr>
        <w:t>1</w:t>
      </w:r>
      <w:r>
        <w:t xml:space="preserve"> measurements.</w:t>
      </w:r>
    </w:p>
    <w:p w:rsidR="00556DE7" w:rsidRDefault="00BA5CBD">
      <w:pPr>
        <w:rPr>
          <w:b/>
          <w:bCs/>
        </w:rPr>
      </w:pPr>
      <w:r>
        <w:t>While scanning animals, an infrared MRI compatible camera (MRC Systems GmbH, 12M-i) was used to monitor the behavior of the animal.</w:t>
      </w:r>
    </w:p>
    <w:p w:rsidR="00556DE7" w:rsidRDefault="00556DE7">
      <w:pPr>
        <w:rPr>
          <w:b/>
          <w:bCs/>
        </w:rPr>
      </w:pPr>
    </w:p>
    <w:p w:rsidR="00556DE7" w:rsidRDefault="00BA5CBD">
      <w:pPr>
        <w:rPr>
          <w:b/>
          <w:bCs/>
        </w:rPr>
      </w:pPr>
      <w:r>
        <w:rPr>
          <w:b/>
          <w:bCs/>
        </w:rPr>
        <w:t>Data Processing</w:t>
      </w:r>
    </w:p>
    <w:p w:rsidR="00556DE7" w:rsidRDefault="00BA5CBD">
      <w:pPr>
        <w:spacing w:after="0" w:line="360" w:lineRule="auto"/>
        <w:jc w:val="both"/>
      </w:pPr>
      <w:r>
        <w:t>T1, T2, and T</w:t>
      </w:r>
      <w:r>
        <w:rPr>
          <w:vertAlign w:val="subscript"/>
        </w:rPr>
        <w:t>2</w:t>
      </w:r>
      <w:r>
        <w:rPr>
          <w:vertAlign w:val="superscript"/>
        </w:rPr>
        <w:t>*</w:t>
      </w:r>
      <w:r>
        <w:t xml:space="preserve"> relaxation times constant were estimated voxelwise by nonlinear least square data fitting using the image sequence analysis (ISA) toolbox of Paravision 5.1 (Bruker BioSpec, Germany). The T2 and T</w:t>
      </w:r>
      <w:r>
        <w:rPr>
          <w:vertAlign w:val="subscript"/>
        </w:rPr>
        <w:t>2</w:t>
      </w:r>
      <w:r>
        <w:rPr>
          <w:vertAlign w:val="superscript"/>
        </w:rPr>
        <w:t>*</w:t>
      </w:r>
      <w:r>
        <w:t xml:space="preserve"> values were estimated using the fit function:</w:t>
      </w:r>
      <m:oMath>
        <m:r>
          <w:rPr>
            <w:rFonts w:ascii="Cambria Math" w:hAnsi="Cambria Math"/>
          </w:rPr>
          <m:t>y</m:t>
        </m:r>
        <m:d>
          <m:dPr>
            <m:ctrlPr>
              <w:rPr>
                <w:rFonts w:ascii="Cambria Math" w:hAnsi="Cambria Math"/>
              </w:rPr>
            </m:ctrlPr>
          </m:dPr>
          <m:e>
            <m:r>
              <w:rPr>
                <w:rFonts w:ascii="Cambria Math" w:hAnsi="Cambria Math"/>
              </w:rPr>
              <m:t>t</m:t>
            </m:r>
          </m:e>
        </m:d>
        <m:r>
          <w:rPr>
            <w:rFonts w:ascii="Cambria Math" w:hAnsi="Cambria Math"/>
          </w:rPr>
          <m:t>=</m:t>
        </m:r>
        <m:r>
          <w:rPr>
            <w:rFonts w:ascii="Cambria Math" w:hAnsi="Cambria Math"/>
          </w:rPr>
          <m:t>A</m:t>
        </m:r>
        <m:r>
          <w:rPr>
            <w:rFonts w:ascii="Cambria Math" w:hAnsi="Cambria Math"/>
          </w:rPr>
          <m:t>+</m:t>
        </m:r>
        <m:r>
          <w:rPr>
            <w:rFonts w:ascii="Cambria Math" w:hAnsi="Cambria Math"/>
          </w:rPr>
          <m:t>C</m:t>
        </m:r>
        <m:r>
          <w:rPr>
            <w:rFonts w:ascii="Cambria Math" w:hAnsi="Cambria Math"/>
          </w:rPr>
          <m:t>*</m:t>
        </m:r>
        <m:r>
          <w:rPr>
            <w:rFonts w:ascii="Cambria Math" w:hAnsi="Cambria Math"/>
          </w:rPr>
          <m:t>e</m:t>
        </m:r>
        <m:r>
          <w:rPr>
            <w:rFonts w:ascii="Cambria Math" w:hAnsi="Cambria Math"/>
          </w:rPr>
          <m:t>xp</m:t>
        </m:r>
        <m:r>
          <w:rPr>
            <w:rFonts w:ascii="Cambria Math" w:hAnsi="Cambria Math"/>
          </w:rPr>
          <m:t>⁡</m:t>
        </m:r>
        <m:d>
          <m:dPr>
            <m:ctrlPr>
              <w:rPr>
                <w:rFonts w:ascii="Cambria Math" w:hAnsi="Cambria Math"/>
              </w:rPr>
            </m:ctrlPr>
          </m:dPr>
          <m:e>
            <m:f>
              <m:fPr>
                <m:type m:val="lin"/>
                <m:ctrlPr>
                  <w:rPr>
                    <w:rFonts w:ascii="Cambria Math" w:hAnsi="Cambria Math"/>
                  </w:rPr>
                </m:ctrlPr>
              </m:fPr>
              <m:num>
                <m:r>
                  <w:rPr>
                    <w:rFonts w:ascii="Cambria Math" w:hAnsi="Cambria Math"/>
                  </w:rPr>
                  <m:t>-</m:t>
                </m:r>
                <m:r>
                  <w:rPr>
                    <w:rFonts w:ascii="Cambria Math" w:hAnsi="Cambria Math"/>
                  </w:rPr>
                  <m:t>t</m:t>
                </m:r>
              </m:num>
              <m:den>
                <m:sSub>
                  <m:sSubPr>
                    <m:ctrlPr>
                      <w:rPr>
                        <w:rFonts w:ascii="Cambria Math" w:hAnsi="Cambria Math"/>
                      </w:rPr>
                    </m:ctrlPr>
                  </m:sSubPr>
                  <m:e>
                    <m:r>
                      <w:rPr>
                        <w:rFonts w:ascii="Cambria Math" w:hAnsi="Cambria Math"/>
                      </w:rPr>
                      <m:t>T</m:t>
                    </m:r>
                  </m:e>
                  <m:sub>
                    <m:r>
                      <w:rPr>
                        <w:rFonts w:ascii="Cambria Math" w:hAnsi="Cambria Math"/>
                      </w:rPr>
                      <m:t>2</m:t>
                    </m:r>
                  </m:sub>
                </m:sSub>
              </m:den>
            </m:f>
          </m:e>
        </m:d>
      </m:oMath>
      <w:r>
        <w:t>, where A is the absolute bias, C the signal intensity, T2 the transverse relaxation time and t the variable echo times. The T1 values were determined by fitting the saturation recovery (SR) fit function, y(t) = M0 (1-exp(-t/T</w:t>
      </w:r>
      <w:r>
        <w:rPr>
          <w:vertAlign w:val="subscript"/>
        </w:rPr>
        <w:t>1</w:t>
      </w:r>
      <w:r>
        <w:t>)), where M0 is t</w:t>
      </w:r>
      <w:r>
        <w:t xml:space="preserve">he equilibrium magnetization and t the saturation recovery time. Figure S2 summarizes the in vivo T1 and T2 relaxation time maps for selected slices in the crocodile forebrain. </w:t>
      </w:r>
    </w:p>
    <w:p w:rsidR="00556DE7" w:rsidRDefault="00BA5CBD">
      <w:pPr>
        <w:spacing w:after="0" w:line="360" w:lineRule="auto"/>
        <w:jc w:val="both"/>
      </w:pPr>
      <w:r>
        <w:t>GE-EPI is the most common fMRI sequence used to investigate primate brain func</w:t>
      </w:r>
      <w:r>
        <w:t>tions. Since, no data on the GE-EPI sequence behavior in cold blooded animal brains (in this case crocodiles) has been reported before, the spatial noise behavior and temporal stability of the MR signal was assessed by measuring time series of resting stat</w:t>
      </w:r>
      <w:r>
        <w:t xml:space="preserve">e scans for the duration of 10 minutes. These time series were analyzed at each voxel position for three metrics: signal-to-noise ratio (SNR), temporal SNR (tSNR), and signal-noise separation (SNS) </w:t>
      </w:r>
      <w:r>
        <w:fldChar w:fldCharType="begin"/>
      </w:r>
      <w:r>
        <w:instrText>ADDIN CSL_CITATION { "citationID" : "s0felnohq", "citation</w:instrText>
      </w:r>
      <w:r>
        <w:instrText>Items" : [ { "id" : "ITEM-1", "itemData" : { "DOI" : "10.1016/j.neuroimage.2015.05.015", "ISBN" : "1095-9572 (Electronic)\\r1053-8119 (Linking)", "ISSN" : "10959572", "PMID" : "25987368", "abstract" : "Resting-state functional magnetic resonance imaging (r</w:instrText>
      </w:r>
      <w:r>
        <w:instrText>s-fMRI) has become an increasingly important tool in mapping the functional networks of the brain. This tool has been used to examine network changes induced by cognitive and emotional states, neurological traits, and neuropsychiatric disorders. However, n</w:instrText>
      </w:r>
      <w:r>
        <w:instrText>oise that remains in the rs-fMRI data after preprocessing has limited the reliability of individual-subject results, wherein scanner artifacts, subject movements, and other noise sources induce non-neural temporal correlations in the blood oxygen level-dep</w:instrText>
      </w:r>
      <w:r>
        <w:instrText>endent (BOLD) timeseries. Numerous preprocessing methods have been proposed to isolate and remove these confounds; however, the field has not coalesced around a standard preprocessing pipeline. In comparisons, these preprocessing methods are often assessed</w:instrText>
      </w:r>
      <w:r>
        <w:instrText xml:space="preserve"> with only a single metric of rs-fMRI data quality, such as reliability, without considering other aspects in tandem, such as signal-to-noise ratio and group discriminability. The present study seeks to identify the data preprocessing pipeline that optimiz</w:instrText>
      </w:r>
      <w:r>
        <w:instrText xml:space="preserve">es rs-fMRI data across multiple outcome measures. Specifically, we aim to minimize the noise in the data and maximize result reliability, while retaining the unique features that characterize distinct groups. We examine how these metrics are influenced by </w:instrText>
      </w:r>
      <w:r>
        <w:instrText>bandpass filter selection and noise regression in four datasets, totaling 181 rs-fMRI scans and 38 subject-driven memory scans. Additionally, we perform two different rs-fMRI analysis methods - dual regression and region-of-interest based functional connec</w:instrText>
      </w:r>
      <w:r>
        <w:instrText>tivity - and highlight the preprocessing parameters that optimize both approaches. Our results expand upon previous reports of individual-scan reliability, and demonstrate that preprocessing parameter selection can significantly change the noisiness, relia</w:instrText>
      </w:r>
      <w:r>
        <w:instrText>bility, and heterogeneity of rs-fMRI data. The application of our findings to rs-fMRI data analysis should improve the validity and reliability of rs-fMRI results, both at the individual-subject level and the group level.", "author" : [ { "dropping-particl</w:instrText>
      </w:r>
      <w:r>
        <w:instrText>e" : "", "family" : "Shirer", "given" : "William R.", "non-dropping-particle" : "", "parse-names" : false, "suffix" : "" }, { "dropping-particle" : "", "family" : "Jiang", "given" : "Heidi", "non-dropping-particle" : "", "parse-names" : false, "suffix" : "</w:instrText>
      </w:r>
      <w:r>
        <w:instrText xml:space="preserve">" }, { "dropping-particle" : "", "family" : "Price", "given" : "Collin M.", "non-dropping-particle" : "", "parse-names" : false, "suffix" : "" }, { "dropping-particle" : "", "family" : "Ng", "given" : "Bernard", "non-dropping-particle" : "", "parse-names" </w:instrText>
      </w:r>
      <w:r>
        <w:instrText xml:space="preserve">: false, "suffix" : "" }, { "dropping-particle" : "", "family" : "Greicius", "given" : "Michael D.", "non-dropping-particle" : "", "parse-names" : false, "suffix" : "" } ], "container-title" : "NeuroImage", "id" : "ITEM-1", "issued" : { "date-parts" : [ [ </w:instrText>
      </w:r>
      <w:r>
        <w:instrText>"2015", "8", "15" ] ] }, "page" : "67-79", "title" : "Optimization of rs-fMRI Pre-processing for Enhanced Signal-Noise Separation, Test-Retest Reliability, and Group Discrimination", "type" : "article-journal", "volume" : "117" }, "uris" : [ "http://www.me</w:instrText>
      </w:r>
      <w:r>
        <w:instrText>ndeley.com/documents/?uuid=dec42fb4-b1be-3614-b090-24d5db6914ee" ] } ], "mendeley" : { "formattedCitation" : "[3]", "plainTextFormattedCitation" : "[3]", "previouslyFormattedCitation" : "[2]" }, "properties" : { "formattedCitation" : "[Shirer et al., 2015]</w:instrText>
      </w:r>
      <w:r>
        <w:instrText>", "plainCitation" : "[Shirer et al., 2015]" }, "schema" : "https://github.com/citation-style-language/schema/raw/master/csl-citation.json" }</w:instrText>
      </w:r>
      <w:r>
        <w:fldChar w:fldCharType="separate"/>
      </w:r>
      <w:bookmarkStart w:id="4" w:name="__Fieldmark__220_3916728419"/>
      <w:r>
        <w:t>[3]</w:t>
      </w:r>
      <w:r>
        <w:fldChar w:fldCharType="end"/>
      </w:r>
      <w:bookmarkEnd w:id="4"/>
      <w:r>
        <w:t>. To evaluate the quality of the data, the resting state data were processed in the same way as the task base</w:t>
      </w:r>
      <w:r>
        <w:t xml:space="preserve">d data except that linear detrending and high-pass filtering (f&gt;0.005) were done using the REST toolbox in MATLAB </w:t>
      </w:r>
      <w:r>
        <w:fldChar w:fldCharType="begin"/>
      </w:r>
      <w:r>
        <w:instrText>ADDIN CSL_CITATION { "citationID" : "21ode701du", "citationItems" : [ { "id" : "ITEM-1", "itemData" : { "DOI" : "10.1371/journal.pone.0025031"</w:instrText>
      </w:r>
      <w:r>
        <w:instrText>, "ISSN" : "1932-6203", "abstract" : "Resting-state fMRI (RS-fMRI) has been drawing more and more attention in recent years. However, a publicly available, systematically integrated and easy-to-use tool for RS-fMRI data processing is still lacking. We deve</w:instrText>
      </w:r>
      <w:r>
        <w:instrText>loped a toolkit for the analysis of RS-fMRI data, namely the RESting-state fMRI data analysis Toolkit (REST). REST was developed in MATLAB with graphical user interface (GUI). After data preprocessing with SPM or AFNI, a few analytic methods can be perform</w:instrText>
      </w:r>
      <w:r>
        <w:instrText>ed in REST, including functional connectivity analysis based on linear correlation, regional homogeneity, amplitude of low frequency fluctuation (ALFF), and fractional ALFF. A few additional functions were implemented in REST, including a DICOM sorter, lin</w:instrText>
      </w:r>
      <w:r>
        <w:instrText>ear trend removal, bandpass filtering, time course extraction, regression of covariates, image calculator, statistical analysis, and slice viewer (for result visualization, multiple comparison correction, etc.). REST is an open-source package and is freely</w:instrText>
      </w:r>
      <w:r>
        <w:instrText xml:space="preserve"> available at http://www.restfmri.net.", "author" : [ { "dropping-particle" : "", "family" : "Song", "given" : "Xiao-Wei", "non-dropping-particle" : "", "parse-names" : false, "suffix" : "" }, { "dropping-particle" : "", "family" : "Dong", "given" : "Zhang</w:instrText>
      </w:r>
      <w:r>
        <w:instrText>-Ye", "non-dropping-particle" : "", "parse-names" : false, "suffix" : "" }, { "dropping-particle" : "", "family" : "Long", "given" : "Xiang-Yu", "non-dropping-particle" : "", "parse-names" : false, "suffix" : "" }, { "dropping-particle" : "", "family" : "L</w:instrText>
      </w:r>
      <w:r>
        <w:instrText xml:space="preserve">i", "given" : "Su-Fang", "non-dropping-particle" : "", "parse-names" : false, "suffix" : "" }, { "dropping-particle" : "", "family" : "Zuo", "given" : "Xi-Nian", "non-dropping-particle" : "", "parse-names" : false, "suffix" : "" }, { "dropping-particle" : </w:instrText>
      </w:r>
      <w:r>
        <w:instrText>"", "family" : "Zhu", "given" : "Chao-Zhe", "non-dropping-particle" : "", "parse-names" : false, "suffix" : "" }, { "dropping-particle" : "", "family" : "He", "given" : "Yong", "non-dropping-particle" : "", "parse-names" : false, "suffix" : "" }, { "droppi</w:instrText>
      </w:r>
      <w:r>
        <w:instrText>ng-particle" : "", "family" : "Yan", "given" : "Chao-Gan", "non-dropping-particle" : "", "parse-names" : false, "suffix" : "" }, { "dropping-particle" : "", "family" : "Zang", "given" : "Yu-Feng", "non-dropping-particle" : "", "parse-names" : false, "suffi</w:instrText>
      </w:r>
      <w:r>
        <w:instrText>x" : "" } ], "container-title" : "PLOS ONE", "id" : "ITEM-1", "issue" : "9", "issued" : { "date-parts" : [ [ "2011", "9" ] ] }, "page" : "e25031", "title" : "REST: A Toolkit for Resting-State Functional Magnetic Resonance Imaging Data Processing", "type" :</w:instrText>
      </w:r>
      <w:r>
        <w:instrText xml:space="preserve"> "article-journal", "volume" : "6" }, "uris" : [ "http://www.mendeley.com/documents/?uuid=8baf50de-b356-4df3-a970-41b4f1d1c42e" ] } ], "mendeley" : { "formattedCitation" : "[4]", "plainTextFormattedCitation" : "[4]", "previouslyFormattedCitation" : "[3]" }</w:instrText>
      </w:r>
      <w:r>
        <w:instrText>, "properties" : { "formattedCitation" : "[Song et al., 2011]", "plainCitation" : "[Song et al., 2011]" }, "schema" : "https://github.com/citation-style-language/schema/raw/master/csl-citation.json" }</w:instrText>
      </w:r>
      <w:r>
        <w:fldChar w:fldCharType="separate"/>
      </w:r>
      <w:bookmarkStart w:id="5" w:name="__Fieldmark__241_3916728419"/>
      <w:r>
        <w:t>[4]</w:t>
      </w:r>
      <w:r>
        <w:fldChar w:fldCharType="end"/>
      </w:r>
      <w:bookmarkEnd w:id="5"/>
      <w:r>
        <w:t>. In order to calculate SNR and SNS, a region of i</w:t>
      </w:r>
      <w:r>
        <w:t>nterest (ROI) was defined in an artifact free region outside the brain. For each voxel, SNR was calculated as the mean signal of the time series divided by the standard deviation of all voxels of the background ROI (</w:t>
      </w:r>
      <m:oMath>
        <m:sSub>
          <m:sSubPr>
            <m:ctrlPr>
              <w:rPr>
                <w:rFonts w:ascii="Cambria Math" w:hAnsi="Cambria Math"/>
              </w:rPr>
            </m:ctrlPr>
          </m:sSubPr>
          <m:e>
            <m:r>
              <w:rPr>
                <w:rFonts w:ascii="Cambria Math" w:hAnsi="Cambria Math"/>
              </w:rPr>
              <m:t>σ</m:t>
            </m:r>
          </m:e>
          <m:sub>
            <m:r>
              <w:rPr>
                <w:rFonts w:ascii="Cambria Math" w:hAnsi="Cambria Math"/>
              </w:rPr>
              <m:t>n</m:t>
            </m:r>
          </m:sub>
        </m:sSub>
      </m:oMath>
      <w:r>
        <w:t>). Since the distribution of image i</w:t>
      </w:r>
      <w:r>
        <w:t xml:space="preserve">ntensity in magnetic resonance magnitude images is governed by a Rician distribution, the standard deviation of the background ROI was </w:t>
      </w:r>
      <w:r>
        <w:lastRenderedPageBreak/>
        <w:t xml:space="preserve">corrected using the relation </w:t>
      </w:r>
      <m:oMath>
        <m:sSub>
          <m:sSubPr>
            <m:ctrlPr>
              <w:rPr>
                <w:rFonts w:ascii="Cambria Math" w:hAnsi="Cambria Math"/>
              </w:rPr>
            </m:ctrlPr>
          </m:sSubPr>
          <m:e>
            <m:r>
              <w:rPr>
                <w:rFonts w:ascii="Cambria Math" w:hAnsi="Cambria Math"/>
              </w:rPr>
              <m:t>σ</m:t>
            </m:r>
          </m:e>
          <m:sub>
            <m:r>
              <w:rPr>
                <w:rFonts w:ascii="Cambria Math" w:hAnsi="Cambria Math"/>
              </w:rPr>
              <m:t>complex</m:t>
            </m:r>
          </m:sub>
        </m:sSub>
        <m: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n</m:t>
                </m:r>
              </m:sub>
            </m:sSub>
          </m:num>
          <m:den>
            <m:rad>
              <m:radPr>
                <m:degHide m:val="1"/>
                <m:ctrlPr>
                  <w:rPr>
                    <w:rFonts w:ascii="Cambria Math" w:hAnsi="Cambria Math"/>
                  </w:rPr>
                </m:ctrlPr>
              </m:radPr>
              <m:deg/>
              <m:e>
                <m:r>
                  <w:rPr>
                    <w:rFonts w:ascii="Cambria Math" w:hAnsi="Cambria Math"/>
                  </w:rPr>
                  <m:t>2-</m:t>
                </m:r>
                <m:f>
                  <m:fPr>
                    <m:type m:val="lin"/>
                    <m:ctrlPr>
                      <w:rPr>
                        <w:rFonts w:ascii="Cambria Math" w:hAnsi="Cambria Math"/>
                      </w:rPr>
                    </m:ctrlPr>
                  </m:fPr>
                  <m:num>
                    <m:r>
                      <w:rPr>
                        <w:rFonts w:ascii="Cambria Math" w:hAnsi="Cambria Math"/>
                      </w:rPr>
                      <m:t>π</m:t>
                    </m:r>
                  </m:num>
                  <m:den>
                    <m:r>
                      <w:rPr>
                        <w:rFonts w:ascii="Cambria Math" w:hAnsi="Cambria Math"/>
                      </w:rPr>
                      <m:t>2</m:t>
                    </m:r>
                  </m:den>
                </m:f>
              </m:e>
            </m:rad>
          </m:den>
        </m:f>
      </m:oMath>
      <w:r>
        <w:t xml:space="preserve"> to estimate the true noise power of the original complex data </w:t>
      </w:r>
      <w:r>
        <w:fldChar w:fldCharType="begin"/>
      </w:r>
      <w:r>
        <w:instrText>ADD</w:instrText>
      </w:r>
      <w:r>
        <w:instrText>IN CSL_CITATION { "citationID" : "osattpbs1", "citationItems" : [ { "id" : "ITEM-1", "itemData" : { "DOI" : "10.1002/mrm.1910340618", "ISSN" : "1522-2594", "abstract" : "The image intensity in magnetic resonance magnitude images in the presence of noise is</w:instrText>
      </w:r>
      <w:r>
        <w:instrText xml:space="preserve"> shown to be governed by a Rician distribution. Low signal intensities (SNR &lt; 2) are therefore biased due to the noise. it is shown how the underlying noise can be estimated from the images and a simple correction scheme is provided to reduce the bias. the</w:instrText>
      </w:r>
      <w:r>
        <w:instrText xml:space="preserve"> noise characteristics in phase images are also studied and shown to be very different from those of the magnitude images. Common to both, however, is that the noise distributions are nearly Gaussian for SNR larger than two.", "author" : [ { "dropping-part</w:instrText>
      </w:r>
      <w:r>
        <w:instrText>icle" : "", "family" : "Gudbjartsson", "given" : "H\u00e1Kon", "non-dropping-particle" : "", "parse-names" : false, "suffix" : "" }, { "dropping-particle" : "", "family" : "Patz", "given" : "Samuel", "non-dropping-particle" : "", "parse-names" : false, "su</w:instrText>
      </w:r>
      <w:r>
        <w:instrText>ffix" : "" } ], "container-title" : "Magnetic Resonance in Medicine", "id" : "ITEM-1", "issue" : "6", "issued" : { "date-parts" : [ [ "1995", "12" ] ] }, "language" : "en", "page" : "910-914", "title" : "The rician distribution of noisy mri data", "type" :</w:instrText>
      </w:r>
      <w:r>
        <w:instrText xml:space="preserve"> "article-journal", "volume" : "34" }, "uris" : [ "http://www.mendeley.com/documents/?uuid=b251d582-69f7-4291-8d4d-40a5c70df303" ] }, { "id" : "ITEM-2", "itemData" : { "DOI" : "10.1016/j.neuroimage.2005.01.007", "ISSN" : "1053-8119", "abstract" : "Previous</w:instrText>
      </w:r>
      <w:r>
        <w:instrText xml:space="preserve"> studies have shown that under some conditions, noise fluctuations in an fMRI time-course are dominated by physiological modulations of the image intensity with secondary contributions from thermal image noise and that these two sources scale differently w</w:instrText>
      </w:r>
      <w:r>
        <w:instrText>ith signal intensity, susceptibility weighting (TE) and field strength. The SNR of the fMRI time-course was found to be near its asymptotic limit for moderate spatial resolution measurements at 3 T with only marginal gains expected from acquisition at high</w:instrText>
      </w:r>
      <w:r>
        <w:instrText>er field strengths. In this study, we investigate the amplitude of image intensity fluctuations in the fMRI time-course at magnetic field strengths of 1.5 T, 3 T, and 7 T as a function of image resolution, flip angle and TE. The time-course SNR was a simil</w:instrText>
      </w:r>
      <w:r>
        <w:instrText>ar function of the image SNR regardless of whether the image SNR was modulated by flip angle, image resolution, or field strength. For spatial resolutions typical of those currently used in fMRI (e.g., 3 x 3 x 3 mm(3)), increases in image SNR obtained from</w:instrText>
      </w:r>
      <w:r>
        <w:instrText xml:space="preserve"> 7 T acquisition produced only modest increases in time-course SNR. At this spatial resolution, the ratio of physiological noise to thermal image noise was 0.61, 0.89, and 2.23 for 1.5 T, 3 T, and 7 T. At a resolution of 1 x 1 x 3 mm(3), however, the physi</w:instrText>
      </w:r>
      <w:r>
        <w:instrText>ological to thermal noise ratio was 0.34, 0.57, and 0.91 for 1.5 T, 3 T and 7 T for TE near T2*. Thus, by reducing the signal strength using higher image resolution, the ratio of physiologic to image noise could be reduced to a regime where increased sensi</w:instrText>
      </w:r>
      <w:r>
        <w:instrText xml:space="preserve">tivity afforded by higher field strength still translated to improved SNR in the fMRI time-series.", "author" : [ { "dropping-particle" : "", "family" : "Triantafyllou", "given" : "C.", "non-dropping-particle" : "", "parse-names" : false, "suffix" : "" }, </w:instrText>
      </w:r>
      <w:r>
        <w:instrText>{ "dropping-particle" : "", "family" : "Hoge", "given" : "R. D.", "non-dropping-particle" : "", "parse-names" : false, "suffix" : "" }, { "dropping-particle" : "", "family" : "Krueger", "given" : "G.", "non-dropping-particle" : "", "parse-names" : false, "</w:instrText>
      </w:r>
      <w:r>
        <w:instrText>suffix" : "" }, { "dropping-particle" : "", "family" : "Wiggins", "given" : "C. J.", "non-dropping-particle" : "", "parse-names" : false, "suffix" : "" }, { "dropping-particle" : "", "family" : "Potthast", "given" : "A.", "non-dropping-particle" : "", "par</w:instrText>
      </w:r>
      <w:r>
        <w:instrText>se-names" : false, "suffix" : "" }, { "dropping-particle" : "", "family" : "Wiggins", "given" : "G. C.", "non-dropping-particle" : "", "parse-names" : false, "suffix" : "" }, { "dropping-particle" : "", "family" : "Wald", "given" : "L. L.", "non-dropping-p</w:instrText>
      </w:r>
      <w:r>
        <w:instrText>article" : "", "parse-names" : false, "suffix" : "" } ], "container-title" : "NeuroImage", "id" : "ITEM-2", "issue" : "1", "issued" : { "date-parts" : [ [ "2005", "5" ] ] }, "language" : "ENG", "page" : "243-250", "title" : "Comparison of physiological noi</w:instrText>
      </w:r>
      <w:r>
        <w:instrText xml:space="preserve">se at 1.5 T, 3 T and 7 T and optimization of fMRI acquisition parameters", "type" : "article-journal", "volume" : "26" }, "uris" : [ "http://www.mendeley.com/documents/?uuid=3c14557d-155c-4ec9-88ae-4098c9573e59" ] } ], "mendeley" : { "formattedCitation" : </w:instrText>
      </w:r>
      <w:r>
        <w:instrText>"[5,6]", "plainTextFormattedCitation" : "[5,6]", "previouslyFormattedCitation" : "[4,5]" }, "properties" : { "formattedCitation" : "[Gudbjartsson, and Patz, 1995; Triantafyllou et al., 2005]", "plainCitation" : "[Gudbjartsson, and Patz, 1995; Triantafyllou</w:instrText>
      </w:r>
      <w:r>
        <w:instrText xml:space="preserve"> et al., 2005]" }, "schema" : "https://github.com/citation-style-language/schema/raw/master/csl-citation.json" }</w:instrText>
      </w:r>
      <w:r>
        <w:fldChar w:fldCharType="separate"/>
      </w:r>
      <w:bookmarkStart w:id="6" w:name="__Fieldmark__271_3916728419"/>
      <w:r>
        <w:t>[5,6]</w:t>
      </w:r>
      <w:r>
        <w:fldChar w:fldCharType="end"/>
      </w:r>
      <w:bookmarkEnd w:id="6"/>
      <w:r>
        <w:t xml:space="preserve">. To evaluate the temporal stability of the MR </w:t>
      </w:r>
      <w:r>
        <w:t>si</w:t>
      </w:r>
      <w:r>
        <w:t>gnal, tSNR in each voxel was calculated as the ratio of the time-series mean by the tim</w:t>
      </w:r>
      <w:r>
        <w:t>e-series standard deviation (</w:t>
      </w:r>
      <m:oMath>
        <m:r>
          <w:rPr>
            <w:rFonts w:ascii="Cambria Math" w:hAnsi="Cambria Math"/>
          </w:rPr>
          <m:t>tSNR</m:t>
        </m:r>
        <m:r>
          <w:rPr>
            <w:rFonts w:ascii="Cambria Math" w:hAnsi="Cambria Math"/>
          </w:rPr>
          <m:t>=</m:t>
        </m:r>
        <m:f>
          <m:fPr>
            <m:type m:val="lin"/>
            <m:ctrlPr>
              <w:rPr>
                <w:rFonts w:ascii="Cambria Math" w:hAnsi="Cambria Math"/>
              </w:rPr>
            </m:ctrlPr>
          </m:fPr>
          <m:num>
            <m:acc>
              <m:accPr>
                <m:chr m:val="´"/>
                <m:ctrlPr>
                  <w:rPr>
                    <w:rFonts w:ascii="Cambria Math" w:hAnsi="Cambria Math"/>
                  </w:rPr>
                </m:ctrlPr>
              </m:accPr>
              <m:e>
                <m:r>
                  <w:rPr>
                    <w:rFonts w:ascii="Cambria Math" w:hAnsi="Cambria Math"/>
                  </w:rPr>
                  <m:t>S</m:t>
                </m:r>
                <m:d>
                  <m:dPr>
                    <m:ctrlPr>
                      <w:rPr>
                        <w:rFonts w:ascii="Cambria Math" w:hAnsi="Cambria Math"/>
                      </w:rPr>
                    </m:ctrlPr>
                  </m:dPr>
                  <m:e>
                    <m:r>
                      <w:rPr>
                        <w:rFonts w:ascii="Cambria Math" w:hAnsi="Cambria Math"/>
                      </w:rPr>
                      <m:t>t</m:t>
                    </m:r>
                  </m:e>
                </m:d>
              </m:e>
            </m:acc>
          </m:num>
          <m:den>
            <m:sSub>
              <m:sSubPr>
                <m:ctrlPr>
                  <w:rPr>
                    <w:rFonts w:ascii="Cambria Math" w:hAnsi="Cambria Math"/>
                  </w:rPr>
                </m:ctrlPr>
              </m:sSubPr>
              <m:e>
                <m:r>
                  <w:rPr>
                    <w:rFonts w:ascii="Cambria Math" w:hAnsi="Cambria Math"/>
                  </w:rPr>
                  <m:t>σ</m:t>
                </m:r>
              </m:e>
              <m:sub>
                <m:r>
                  <w:rPr>
                    <w:rFonts w:ascii="Cambria Math" w:hAnsi="Cambria Math"/>
                  </w:rPr>
                  <m:t>s</m:t>
                </m:r>
                <m:d>
                  <m:dPr>
                    <m:ctrlPr>
                      <w:rPr>
                        <w:rFonts w:ascii="Cambria Math" w:hAnsi="Cambria Math"/>
                      </w:rPr>
                    </m:ctrlPr>
                  </m:dPr>
                  <m:e>
                    <m:r>
                      <w:rPr>
                        <w:rFonts w:ascii="Cambria Math" w:hAnsi="Cambria Math"/>
                      </w:rPr>
                      <m:t>t</m:t>
                    </m:r>
                  </m:e>
                </m:d>
              </m:sub>
            </m:sSub>
          </m:den>
        </m:f>
        <m:r>
          <w:rPr>
            <w:rFonts w:ascii="Cambria Math" w:hAnsi="Cambria Math"/>
          </w:rPr>
          <m:t xml:space="preserve"> </m:t>
        </m:r>
      </m:oMath>
      <w:r w:rsidR="007745F2">
        <w:t>).</w:t>
      </w:r>
      <w:r>
        <w:t xml:space="preserve"> </w:t>
      </w:r>
      <w:bookmarkStart w:id="7" w:name="OLE_LINK23"/>
      <w:bookmarkStart w:id="8" w:name="OLE_LINK22"/>
      <w:bookmarkStart w:id="9" w:name="OLE_LINK21"/>
      <w:r>
        <w:t xml:space="preserve">SNS is defined as </w:t>
      </w:r>
      <w:r>
        <w:t>the</w:t>
      </w:r>
      <w:r>
        <w:t xml:space="preserve"> Pearson correlation coefficient between the time series of single voxels within the brain and an average time series of voxels outside the </w:t>
      </w:r>
      <w:r>
        <w:t>imaged object.</w:t>
      </w:r>
      <w:bookmarkEnd w:id="7"/>
      <w:bookmarkEnd w:id="8"/>
      <w:bookmarkEnd w:id="9"/>
    </w:p>
    <w:p w:rsidR="00556DE7" w:rsidRDefault="00BA5CBD">
      <w:pPr>
        <w:spacing w:after="0" w:line="360" w:lineRule="auto"/>
        <w:jc w:val="both"/>
      </w:pPr>
      <w:r>
        <w:t>Figure S1 shows a se</w:t>
      </w:r>
      <w:r>
        <w:t xml:space="preserve">t of gray scale and color coded images depicting SNR, tSNR, and SNS maps used to assess the quality of the fMRI data. </w:t>
      </w:r>
      <w:r>
        <w:t xml:space="preserve"> </w:t>
      </w:r>
      <w:bookmarkStart w:id="10" w:name="OLE_LINK20"/>
      <w:bookmarkStart w:id="11" w:name="OLE_LINK19"/>
      <w:r>
        <w:t xml:space="preserve">SNR and tSNR in the regions of interest </w:t>
      </w:r>
      <w:r>
        <w:t>were hig</w:t>
      </w:r>
      <w:r>
        <w:t xml:space="preserve">h and </w:t>
      </w:r>
      <w:r>
        <w:t xml:space="preserve">ranged from 300 to 500 and 200 to 300 respectively, after </w:t>
      </w:r>
      <w:r>
        <w:t>pre-processing</w:t>
      </w:r>
      <w:bookmarkEnd w:id="10"/>
      <w:bookmarkEnd w:id="11"/>
      <w:r>
        <w:t>.</w:t>
      </w:r>
      <w:r>
        <w:t xml:space="preserve"> </w:t>
      </w:r>
      <w:r>
        <w:t xml:space="preserve">As </w:t>
      </w:r>
      <w:r>
        <w:t>illustrated</w:t>
      </w:r>
      <w:r>
        <w:t xml:space="preserve"> in Figure S1e, there was no correlation between the </w:t>
      </w:r>
      <w:r>
        <w:t xml:space="preserve">chosen </w:t>
      </w:r>
      <w:r>
        <w:t>noise</w:t>
      </w:r>
      <w:r>
        <w:t>-ROI</w:t>
      </w:r>
      <w:r>
        <w:t xml:space="preserve"> </w:t>
      </w:r>
      <w:r>
        <w:t>and the signal</w:t>
      </w:r>
      <w:r>
        <w:t>s</w:t>
      </w:r>
      <w:r>
        <w:t xml:space="preserve"> </w:t>
      </w:r>
      <w:r>
        <w:t xml:space="preserve">from </w:t>
      </w:r>
      <w:r>
        <w:t xml:space="preserve">voxels </w:t>
      </w:r>
      <w:r>
        <w:t xml:space="preserve">in </w:t>
      </w:r>
      <w:r>
        <w:t xml:space="preserve">brain tissue, indicating </w:t>
      </w:r>
      <w:r>
        <w:t xml:space="preserve">good </w:t>
      </w:r>
      <w:r>
        <w:t>SNS</w:t>
      </w:r>
      <w:r w:rsidR="007D0505">
        <w:t>.</w:t>
      </w:r>
    </w:p>
    <w:p w:rsidR="00556DE7" w:rsidRDefault="00556DE7">
      <w:pPr>
        <w:spacing w:after="0" w:line="360" w:lineRule="auto"/>
        <w:jc w:val="both"/>
      </w:pPr>
    </w:p>
    <w:p w:rsidR="00556DE7" w:rsidRDefault="00BA5CBD">
      <w:pPr>
        <w:jc w:val="both"/>
        <w:rPr>
          <w:rFonts w:cs="Times New Roman"/>
          <w:b/>
          <w:bCs/>
        </w:rPr>
      </w:pPr>
      <w:r>
        <w:rPr>
          <w:b/>
          <w:bCs/>
          <w:sz w:val="28"/>
          <w:szCs w:val="28"/>
        </w:rPr>
        <w:t>Supplementary results</w:t>
      </w:r>
    </w:p>
    <w:p w:rsidR="00556DE7" w:rsidRDefault="00BA5CBD">
      <w:pPr>
        <w:jc w:val="both"/>
        <w:rPr>
          <w:rFonts w:cs="Times New Roman"/>
          <w:b/>
          <w:bCs/>
        </w:rPr>
      </w:pPr>
      <w:r>
        <w:rPr>
          <w:rFonts w:cs="Times New Roman"/>
          <w:b/>
          <w:bCs/>
        </w:rPr>
        <w:t>Temporal properties of the BOLD response</w:t>
      </w:r>
    </w:p>
    <w:p w:rsidR="00556DE7" w:rsidRDefault="00BA5CBD">
      <w:pPr>
        <w:spacing w:after="0" w:line="360" w:lineRule="auto"/>
        <w:jc w:val="both"/>
      </w:pPr>
      <w:r>
        <w:rPr>
          <w:rFonts w:cs="Times New Roman"/>
          <w:bCs/>
        </w:rPr>
        <w:t xml:space="preserve">The temporal properties of BOLD responses were not only modulated by stimulus type. </w:t>
      </w:r>
      <w:r>
        <w:rPr>
          <w:rFonts w:cs="Times New Roman"/>
        </w:rPr>
        <w:t>During binocular visual stimulation there was a statistically significant difference between the onset l</w:t>
      </w:r>
      <w:r>
        <w:rPr>
          <w:rFonts w:cs="Times New Roman"/>
        </w:rPr>
        <w:t>atency of activation between cVs</w:t>
      </w:r>
      <w:r>
        <w:rPr>
          <w:rFonts w:cs="Times New Roman"/>
          <w:vertAlign w:val="subscript"/>
        </w:rPr>
        <w:t>I</w:t>
      </w:r>
      <w:r>
        <w:rPr>
          <w:rFonts w:cs="Times New Roman"/>
        </w:rPr>
        <w:t xml:space="preserve"> and Rt. cVs</w:t>
      </w:r>
      <w:r>
        <w:rPr>
          <w:rFonts w:cs="Times New Roman"/>
          <w:vertAlign w:val="subscript"/>
        </w:rPr>
        <w:t>I</w:t>
      </w:r>
      <w:r>
        <w:rPr>
          <w:rFonts w:cs="Times New Roman"/>
        </w:rPr>
        <w:t xml:space="preserve"> had a longer onset latency compared to Rt and a later offset persisting beyond the stimulation period by approximately 4s (Fig.2). Differences between the BOLD response of these two regions could be attributed to differences in neuronal density </w:t>
      </w:r>
      <w:r>
        <w:fldChar w:fldCharType="begin"/>
      </w:r>
      <w:r>
        <w:instrText>ADDIN CSL_</w:instrText>
      </w:r>
      <w:r>
        <w:instrText>CITATION { "citationItems" : [ { "id" : "ITEM-1", "itemData" : { "DOI" : "10.1073/pnas.1517131113", "ISBN" : "9122227822", "ISSN" : "0027-8424", "PMID" : "27298365", "abstract" : "Some birds achieve primate-like levels of cognition, even though their brain</w:instrText>
      </w:r>
      <w:r>
        <w:instrText>s tend to be much smaller in absolute size. This poses a fundamental problem in comparative and computational neuroscience, because small brains are expected to have a lower information-processing capacity. Using the isotropic fractionator to determine num</w:instrText>
      </w:r>
      <w:r>
        <w:instrText>bers of neurons in specific brain regions, here we show that the brains of parrots and songbirds contain on average twice as many neurons as primate brains of the same mass, indicating that avian brains have higher neuron packing densities than mammalian b</w:instrText>
      </w:r>
      <w:r>
        <w:instrText xml:space="preserve">rains. Additionally, corvids and parrots have much higher proportions of brain neurons located in the pallial telencephalon compared with primates or other mammals and birds. Thus, large-brained parrots and corvids have forebrain neuron counts equal to or </w:instrText>
      </w:r>
      <w:r>
        <w:instrText>greater than primates with much larger brains. We suggest that the large numbers of neurons concentrated in high densities in the telencephalon substantially contribute to the neural basis of avian intelligence.", "author" : [ { "dropping-particle" : "", "</w:instrText>
      </w:r>
      <w:r>
        <w:instrText xml:space="preserve">family" : "Olkowicz", "given" : "Seweryn", "non-dropping-particle" : "", "parse-names" : false, "suffix" : "" }, { "dropping-particle" : "", "family" : "Kocourek", "given" : "Martin", "non-dropping-particle" : "", "parse-names" : false, "suffix" : "" }, { </w:instrText>
      </w:r>
      <w:r>
        <w:instrText>"dropping-particle" : "", "family" : "Lu\u010dan", "given" : "Radek K", "non-dropping-particle" : "", "parse-names" : false, "suffix" : "" }, { "dropping-particle" : "", "family" : "Porte\u0161", "given" : "Michal", "non-dropping-particle" : "", "parse-nam</w:instrText>
      </w:r>
      <w:r>
        <w:instrText>es" : false, "suffix" : "" }, { "dropping-particle" : "", "family" : "Fitch", "given" : "W Tecumseh", "non-dropping-particle" : "", "parse-names" : false, "suffix" : "" }, { "dropping-particle" : "", "family" : "Herculano-Houzel", "given" : "Suzana", "non-</w:instrText>
      </w:r>
      <w:r>
        <w:instrText>dropping-particle" : "", "parse-names" : false, "suffix" : "" }, { "dropping-particle" : "", "family" : "N\u011bmec", "given" : "Pavel", "non-dropping-particle" : "", "parse-names" : false, "suffix" : "" } ], "container-title" : "Proceedings of the Nationa</w:instrText>
      </w:r>
      <w:r>
        <w:instrText>l Academy of Sciences", "id" : "ITEM-1", "issue" : "26", "issued" : { "date-parts" : [ [ "2016" ] ] }, "page" : "7255-7260", "publisher" : "National Academy of Sciences", "title" : "Birds have primate-like numbers of neurons in the forebrain", "type" : "ar</w:instrText>
      </w:r>
      <w:r>
        <w:instrText xml:space="preserve">ticle-journal", "volume" : "113" }, "uris" : [ "http://www.mendeley.com/documents/?uuid=4ace3346-41bf-303a-afaa-f849ed21a828" ] }, { "id" : "ITEM-2", "itemData" : { "DOI" : "10.1159/000443201", "ISSN" : "00068977", "PMID" : "26914769", "abstract" : "It is </w:instrText>
      </w:r>
      <w:r>
        <w:instrText>generally believed that animals with larger bodies require larger brains, composed of more neurons. Across mammalian species, there is a correlation between body mass and the number of brain neurons, albeit with low allometric exponents. If larger bodies i</w:instrText>
      </w:r>
      <w:r>
        <w:instrText>mperatively require more neurons to operate them, then such an increase in the number of neurons should be detected across individuals of a continuously growing species, such as the Nile crocodile. In the current study we use the isotropic fractionator met</w:instrText>
      </w:r>
      <w:r>
        <w:instrText>hod of cell counting to determine how the number of neurons and non-neurons in 6 specific brain regions and the spinal cord change with increasing body mass in the Nile crocodile. The central nervous system (CNS) structures examined all increase in mass as</w:instrText>
      </w:r>
      <w:r>
        <w:instrText xml:space="preserve"> a function of body mass, with allometric exponents of around 0.2, except for the spinal cord, which increases with an exponent of 0.6. We find that numbers of non-neurons increase slowly, but significantly, in all CNS structures, scaling as a function of </w:instrText>
      </w:r>
      <w:r>
        <w:instrText>body mass with exponents ranging between 0.1 and 0.3. In contrast, numbers of neurons scale with body mass in the spinal cord, olfactory bulb, cerebellum and telencephalon, with exponents of between 0.08 and 0.20, but not in the brainstem and diencephalon,</w:instrText>
      </w:r>
      <w:r>
        <w:instrText xml:space="preserve"> the brain structures that receive inputs and send outputs to the growing body. Densities of both neurons and non-neurons decrease with increasing body mass. These results indicate that increasing body mass with growth in the Nile crocodile is associated w</w:instrText>
      </w:r>
      <w:r>
        <w:instrText>ith a general addition of non-neurons and increasing cell size throughout CNS structures, but is only associated with an addition of neurons in some structures (and at very small rates) and not in those brain structures directly connected to the body. Larg</w:instrText>
      </w:r>
      <w:r>
        <w:instrText xml:space="preserve">er bodies thus do not imperatively require more neurons to operate them.", "author" : [ { "dropping-particle" : "", "family" : "Ngwenya", "given" : "Ayanda", "non-dropping-particle" : "", "parse-names" : false, "suffix" : "" }, { "dropping-particle" : "", </w:instrText>
      </w:r>
      <w:r>
        <w:instrText>"family" : "Patzke", "given" : "Nina", "non-dropping-particle" : "", "parse-names" : false, "suffix" : "" }, { "dropping-particle" : "", "family" : "Manger", "given" : "Paul R.", "non-dropping-particle" : "", "parse-names" : false, "suffix" : "" }, { "drop</w:instrText>
      </w:r>
      <w:r>
        <w:instrText>ping-particle" : "", "family" : "Herculano-Houzel", "given" : "Suzana", "non-dropping-particle" : "", "parse-names" : false, "suffix" : "" } ], "container-title" : "Brain, Behavior and Evolution", "id" : "ITEM-2", "issue" : "1", "issued" : { "date-parts" :</w:instrText>
      </w:r>
      <w:r>
        <w:instrText xml:space="preserve"> [ [ "2016", "2", "26" ] ] }, "page" : "19-38", "title" : "Continued Growth of the Central Nervous System without Mandatory Addition of Neurons in the Nile Crocodile (Crocodylus niloticus)", "type" : "article-journal", "volume" : "87" }, "uris" : [ "http:/</w:instrText>
      </w:r>
      <w:r>
        <w:instrText>/www.mendeley.com/documents/?uuid=b88cbcb0-229d-3423-a634-f6b9f7cf1837" ] } ], "mendeley" : { "formattedCitation" : "[7,8]", "plainTextFormattedCitation" : "[7,8]", "previouslyFormattedCitation" : "[6,7]" }, "properties" : {  }, "schema" : "https://github.</w:instrText>
      </w:r>
      <w:r>
        <w:instrText>com/citation-style-language/schema/raw/master/csl-citation.json" }</w:instrText>
      </w:r>
      <w:r>
        <w:fldChar w:fldCharType="separate"/>
      </w:r>
      <w:bookmarkStart w:id="12" w:name="__Fieldmark__357_3916728419"/>
      <w:r>
        <w:rPr>
          <w:rFonts w:cs="Times New Roman"/>
        </w:rPr>
        <w:t>[7,8]</w:t>
      </w:r>
      <w:r>
        <w:fldChar w:fldCharType="end"/>
      </w:r>
      <w:bookmarkEnd w:id="12"/>
      <w:r>
        <w:rPr>
          <w:rFonts w:cs="Times New Roman"/>
        </w:rPr>
        <w:t xml:space="preserve">, anatomical topographic location </w:t>
      </w:r>
      <w:r>
        <w:fldChar w:fldCharType="begin"/>
      </w:r>
      <w:r>
        <w:instrText>ADDIN CSL_CITATION { "citationItems" : [ { "id" : "ITEM-1", "itemData" : { "abstract" : "ignal timing across the macaque visual system. J. Neurophys</w:instrText>
      </w:r>
      <w:r>
        <w:instrText>iol. 79: 3272\u20133278, 1998. The onset latencies of single-unit responses evoked by flashing visual stimuli were measured in the parvocellular (P) and magnocellular (M) layers of the dorsal lateral geniculate nucleus (LGNd) and in cortical visual areas V</w:instrText>
      </w:r>
      <w:r>
        <w:instrText xml:space="preserve">1, V2, V3, V4, middle temporal area (MT), medial superior temporal area (MST), and in the frontal eye field (FEF) in individual anesthetized monkeys. Identical procedures were carried out to assess latencies in each area, often in the same monkey, thereby </w:instrText>
      </w:r>
      <w:r>
        <w:instrText>permitting direct comparisons of timing across areas. This study presents the visual flash-evoked latencies for cells in areas where such data are common (V1 and V2), and are therefore a good standard, and also in areas where such data are sparse (LGNd M a</w:instrText>
      </w:r>
      <w:r>
        <w:instrText>nd P layers, MT, V4) or entirely lacking (V3, MST, and FEF in anesthetized preparation). Visual-evoked onset latencies were, on average, 17 ms shorter in the LGNd M layers than in the LGNd P layers. Visual responses occurred in V1 before any other cortical</w:instrText>
      </w:r>
      <w:r>
        <w:instrText xml:space="preserve"> area. The next wave of activation occurred concurrently in areas V3, MT, MST, and FEF. Visual response latencies in areas V2 and V4 were progressively later and more broadly distributed. These differences in the time course of activation across the dorsal</w:instrText>
      </w:r>
      <w:r>
        <w:instrText xml:space="preserve"> and ventral streams provide important temporal constraints on theories of visual processing.", "author" : [ { "dropping-particle" : "", "family" : "Schmolesky", "given" : "M.T.", "non-dropping-particle" : "", "parse-names" : false, "suffix" : "" }, { "dro</w:instrText>
      </w:r>
      <w:r>
        <w:instrText>pping-particle" : "", "family" : "Wang", "given" : "Youngchang", "non-dropping-particle" : "", "parse-names" : false, "suffix" : "" }, { "dropping-particle" : "", "family" : "Hanes", "given" : "D.P.", "non-dropping-particle" : "", "parse-names" : false, "s</w:instrText>
      </w:r>
      <w:r>
        <w:instrText>uffix" : "" }, { "dropping-particle" : "", "family" : "Thompson", "given" : "K.G.", "non-dropping-particle" : "", "parse-names" : false, "suffix" : "" }, { "dropping-particle" : "", "family" : "Leutgeb", "given" : "Stefan", "non-dropping-particle" : "", "p</w:instrText>
      </w:r>
      <w:r>
        <w:instrText>arse-names" : false, "suffix" : "" }, { "dropping-particle" : "", "family" : "Schall", "given" : "J.D.", "non-dropping-particle" : "", "parse-names" : false, "suffix" : "" }, { "dropping-particle" : "", "family" : "Leventhal", "given" : "A.G.", "non-droppi</w:instrText>
      </w:r>
      <w:r>
        <w:instrText>ng-particle" : "", "parse-names" : false, "suffix" : "" } ], "container-title" : "Journal of Neurophysiology", "id" : "ITEM-1", "issue" : "6", "issued" : { "date-parts" : [ [ "1998" ] ] }, "page" : "3272", "title" : "Signal timing across the macaque visual</w:instrText>
      </w:r>
      <w:r>
        <w:instrText xml:space="preserve"> system", "type" : "article-journal", "volume" : "79" }, "uris" : [ "http://www.mendeley.com/documents/?uuid=b65536da-d8b8-36cb-b15a-1a66e430ec8b" ] } ], "mendeley" : { "formattedCitation" : "[9]", "plainTextFormattedCitation" : "[9]", "previouslyFormatted</w:instrText>
      </w:r>
      <w:r>
        <w:instrText>Citation" : "[8]" }, "properties" : {  }, "schema" : "https://github.com/citation-style-language/schema/raw/master/csl-citation.json" }</w:instrText>
      </w:r>
      <w:r>
        <w:fldChar w:fldCharType="separate"/>
      </w:r>
      <w:bookmarkStart w:id="13" w:name="__Fieldmark__362_3916728419"/>
      <w:r>
        <w:rPr>
          <w:rFonts w:cs="Times New Roman"/>
        </w:rPr>
        <w:t>[9]</w:t>
      </w:r>
      <w:r>
        <w:fldChar w:fldCharType="end"/>
      </w:r>
      <w:bookmarkEnd w:id="13"/>
      <w:r>
        <w:rPr>
          <w:rFonts w:cs="Times New Roman"/>
        </w:rPr>
        <w:t xml:space="preserve"> and vascularization, such as differences in the dynamic properties of the local regulation of cerebral blood flow </w:t>
      </w:r>
      <w:r>
        <w:rPr>
          <w:rFonts w:cs="Times New Roman"/>
        </w:rPr>
        <w:t xml:space="preserve">and volume </w:t>
      </w:r>
      <w:r>
        <w:fldChar w:fldCharType="begin"/>
      </w:r>
      <w:r>
        <w:instrText>ADDIN CSL_CITATION { "citationItems" : [ { "id" : "ITEM-1", "itemData" : { "DOI" : "10.1038/jcbfm.2012.23", "ISBN" : "0271-678x", "ISSN" : "1559-7016", "PMID" : "22395207", "abstract" : "After its discovery in 1990, blood oxygenation level-depen</w:instrText>
      </w:r>
      <w:r>
        <w:instrText xml:space="preserve">dent (BOLD) contrast in functional magnetic resonance imaging (fMRI) has been widely used to map brain activation in humans and animals. Since fMRI relies on signal changes induced by neural activity, its signal source can be complex and is also dependent </w:instrText>
      </w:r>
      <w:r>
        <w:instrText>on imaging parameters and techniques. In this review, we identify and describe the origins of BOLD fMRI signals, including the topics of (1) effects of spin density, volume fraction, inflow, perfusion, and susceptibility as potential contributors to BOLD f</w:instrText>
      </w:r>
      <w:r>
        <w:instrText>MRI, (2) intravascular and extravascular contributions to conventional gradient-echo and spin-echo BOLD fMRI, (3) spatial specificity of hemodynamic-based fMRI related to vascular architecture and intrinsic hemodynamic responses, (4) BOLD signal contributi</w:instrText>
      </w:r>
      <w:r>
        <w:instrText>ons from functional changes in cerebral blood flow (CBF), cerebral blood volume (CBV), and cerebral metabolic rate of O(2) utilization (CMRO(2)), (5) dynamic responses of BOLD, CBF, CMRO(2), and arterial and venous CBV, (6) potential sources of initial BOL</w:instrText>
      </w:r>
      <w:r>
        <w:instrText xml:space="preserve">D dips, poststimulus BOLD undershoots, and prolonged negative BOLD fMRI signals, (7) dependence of stimulus-evoked BOLD signals on baseline physiology, and (8) basis of resting-state BOLD fluctuations. These discussions are highly relevant to interpreting </w:instrText>
      </w:r>
      <w:r>
        <w:instrText>BOLD fMRI signals as physiological means.", "author" : [ { "dropping-particle" : "", "family" : "Kim", "given" : "Seong-Gi", "non-dropping-particle" : "", "parse-names" : false, "suffix" : "" }, { "dropping-particle" : "", "family" : "Ogawa", "given" : "Se</w:instrText>
      </w:r>
      <w:r>
        <w:instrText>iji", "non-dropping-particle" : "", "parse-names" : false, "suffix" : "" } ], "container-title" : "Journal of cerebral blood flow and metabolism : official journal of the International Society of Cerebral Blood Flow and Metabolism", "id" : "ITEM-1", "issue</w:instrText>
      </w:r>
      <w:r>
        <w:instrText>" : "7", "issued" : { "date-parts" : [ [ "2012", "7" ] ] }, "page" : "1188-206", "publisher" : "SAGE PublicationsSage UK: London, England", "title" : "Biophysical and physiological origins of blood oxygenation level-dependent fMRI signals.", "type" : "arti</w:instrText>
      </w:r>
      <w:r>
        <w:instrText>cle-journal", "volume" : "32" }, "uris" : [ "http://www.mendeley.com/documents/?uuid=f09494f8-04fb-3ce1-a77e-b1f8292406f5" ] } ], "mendeley" : { "formattedCitation" : "[10]", "plainTextFormattedCitation" : "[10]", "previouslyFormattedCitation" : "[9]" }, "</w:instrText>
      </w:r>
      <w:r>
        <w:instrText>properties" : {  }, "schema" : "https://github.com/citation-style-language/schema/raw/master/csl-citation.json" }</w:instrText>
      </w:r>
      <w:r>
        <w:fldChar w:fldCharType="separate"/>
      </w:r>
      <w:bookmarkStart w:id="14" w:name="__Fieldmark__367_3916728419"/>
      <w:r>
        <w:rPr>
          <w:rFonts w:cs="Times New Roman"/>
        </w:rPr>
        <w:t>[10]</w:t>
      </w:r>
      <w:r>
        <w:fldChar w:fldCharType="end"/>
      </w:r>
      <w:bookmarkEnd w:id="14"/>
      <w:r>
        <w:rPr>
          <w:rFonts w:cs="Times New Roman"/>
        </w:rPr>
        <w:t>. The peak time of BOLD responses (12-24s) in the visual ADVR of the crocodile brain differs considerably from studies in the visual cor</w:t>
      </w:r>
      <w:r>
        <w:rPr>
          <w:rFonts w:cs="Times New Roman"/>
        </w:rPr>
        <w:t xml:space="preserve">tex of monkey </w:t>
      </w:r>
      <w:r>
        <w:fldChar w:fldCharType="begin"/>
      </w:r>
      <w:r>
        <w:instrText>ADDIN CSL_CITATION { "citationItems" : [ { "id" : "ITEM-1", "itemData" : { "DOI" : "10.1038/9210", "ISBN" : "1097-6256 (Print)\\r1097-6256 (Linking)", "ISSN" : "1097-6256", "PMID" : "10448221", "abstract" : "Functional magnetic resonance imag</w:instrText>
      </w:r>
      <w:r>
        <w:instrText>ing (fMRI) has become an essential tool for studying human brain function. Here we describe the application of this technique to anesthetized monkeys. We present spatially resolved functional images of the monkey cortex based on blood oxygenation level dep</w:instrText>
      </w:r>
      <w:r>
        <w:instrText>endent (BOLD) contrast. Checkerboard patterns or pictures of primates were used to study stimulus-induced activation of the visual cortex, in a 4.7-Tesla magnetic field, using optimized multi-slice, gradient-recalled, echo-planar imaging (EPI) sequences to</w:instrText>
      </w:r>
      <w:r>
        <w:instrText xml:space="preserve"> image the entire brain. Under our anesthesia protocol, visual stimulation yielded robust, reproducible, focal activation of the lateral geniculate nucleus (LGN), the primary visual area (V1) and a number of extrastriate visual areas, including areas in th</w:instrText>
      </w:r>
      <w:r>
        <w:instrText>e superior temporal sulcus. Similar responses were obtained in alert, behaving monkeys performing a discrimination task.", "author" : [ { "dropping-particle" : "", "family" : "Logothetis", "given" : "Nikos K.", "non-dropping-particle" : "", "parse-names" :</w:instrText>
      </w:r>
      <w:r>
        <w:instrText xml:space="preserve"> false, "suffix" : "" }, { "dropping-particle" : "", "family" : "Guggenberger", "given" : "Heinz", "non-dropping-particle" : "", "parse-names" : false, "suffix" : "" }, { "dropping-particle" : "", "family" : "Peled", "given" : "Sharon", "non-dropping-parti</w:instrText>
      </w:r>
      <w:r>
        <w:instrText xml:space="preserve">cle" : "", "parse-names" : false, "suffix" : "" }, { "dropping-particle" : "", "family" : "Pauls", "given" : "Jon", "non-dropping-particle" : "", "parse-names" : false, "suffix" : "" } ], "container-title" : "Nature neuroscience", "id" : "ITEM-1", "issue" </w:instrText>
      </w:r>
      <w:r>
        <w:instrText>: "6", "issued" : { "date-parts" : [ [ "1999", "6", "1" ] ] }, "page" : "555-62", "publisher" : "Nature Publishing Group", "title" : "Functional imaging of the monkey brain.", "type" : "article-journal", "volume" : "2" }, "uris" : [ "http://www.mendeley.co</w:instrText>
      </w:r>
      <w:r>
        <w:instrText>m/documents/?uuid=be15d083-af41-367a-9834-10b48a0ee2d3" ] }, { "id" : "ITEM-2", "itemData" : { "DOI" : "10.1038/35084005", "ISBN" : "0028-0836 (Print)\\r0028-0836 (Linking)", "ISSN" : "0028-0836", "PMID" : "11449264", "abstract" : "Functional magnetic reso</w:instrText>
      </w:r>
      <w:r>
        <w:instrText>nance imaging (fMRI) is widely used to study the operational organization of the human brain, but the exact relationship between the measured fMRI signal and the underlying neural activity is unclear. Here we present simultaneous intracortical recordings o</w:instrText>
      </w:r>
      <w:r>
        <w:instrText>f neural signals and fMRI responses. We compared local field potentials (LFPs), single- and multi-unit spiking activity with highly spatio-temporally resolved blood-oxygen-level-dependent (BOLD) fMRI responses from the visual cortex of monkeys. The largest</w:instrText>
      </w:r>
      <w:r>
        <w:instrText xml:space="preserve"> magnitude changes were observed in LFPs, which at recording sites characterized by transient responses were the only signal that significantly correlated with the haemodynamic response. Linear systems analysis on a trial-by-trial basis showed that the imp</w:instrText>
      </w:r>
      <w:r>
        <w:instrText>ulse response of the neurovascular system is both animal- and site-specific, and that LFPs yield a better estimate of BOLD responses than the multi-unit responses. These findings suggest that the BOLD contrast mechanism reflects the input and intracortical</w:instrText>
      </w:r>
      <w:r>
        <w:instrText xml:space="preserve"> processing of a given area rather than its spiking output.", "author" : [ { "dropping-particle" : "", "family" : "Logothetis", "given" : "Nikos K.", "non-dropping-particle" : "", "parse-names" : false, "suffix" : "" }, { "dropping-particle" : "", "family"</w:instrText>
      </w:r>
      <w:r>
        <w:instrText xml:space="preserve"> : "Pauls", "given" : "Jon", "non-dropping-particle" : "", "parse-names" : false, "suffix" : "" }, { "dropping-particle" : "", "family" : "Augath", "given" : "Mark", "non-dropping-particle" : "", "parse-names" : false, "suffix" : "" }, { "dropping-particle</w:instrText>
      </w:r>
      <w:r>
        <w:instrText xml:space="preserve">" : "", "family" : "Trinath", "given" : "Torsten", "non-dropping-particle" : "", "parse-names" : false, "suffix" : "" }, { "dropping-particle" : "", "family" : "Oeltermann", "given" : "Axel", "non-dropping-particle" : "", "parse-names" : false, "suffix" : </w:instrText>
      </w:r>
      <w:r>
        <w:instrText>"" } ], "container-title" : "Nature", "id" : "ITEM-2", "issue" : "6843", "issued" : { "date-parts" : [ [ "2001", "7", "12" ] ] }, "page" : "150-157", "publisher" : "Nature Publishing Group", "title" : "Neurophysiological investigation of the basis of the f</w:instrText>
      </w:r>
      <w:r>
        <w:instrText>MRI signal", "type" : "article-journal", "volume" : "412" }, "uris" : [ "http://www.mendeley.com/documents/?uuid=ead5e090-b78b-3379-a742-2102626aff29" ] } ], "mendeley" : { "formattedCitation" : "[11,12]", "plainTextFormattedCitation" : "[11,12]", "previou</w:instrText>
      </w:r>
      <w:r>
        <w:instrText>slyFormattedCitation" : "[10,11]" }, "properties" : {  }, "schema" : "https://github.com/citation-style-language/schema/raw/master/csl-citation.json" }</w:instrText>
      </w:r>
      <w:r>
        <w:fldChar w:fldCharType="separate"/>
      </w:r>
      <w:bookmarkStart w:id="15" w:name="__Fieldmark__387_3916728419"/>
      <w:r>
        <w:rPr>
          <w:rFonts w:cs="Times New Roman"/>
        </w:rPr>
        <w:t>[11,12]</w:t>
      </w:r>
      <w:r>
        <w:fldChar w:fldCharType="end"/>
      </w:r>
      <w:bookmarkEnd w:id="15"/>
      <w:r>
        <w:rPr>
          <w:rFonts w:cs="Times New Roman"/>
        </w:rPr>
        <w:t xml:space="preserve"> in which </w:t>
      </w:r>
      <w:r>
        <w:rPr>
          <w:rFonts w:cs="Times New Roman"/>
        </w:rPr>
        <w:t xml:space="preserve">BOLD signal reaches a peak at (7-10s) after stimulus onset. </w:t>
      </w:r>
    </w:p>
    <w:p w:rsidR="00556DE7" w:rsidRDefault="00BA5CBD">
      <w:pPr>
        <w:spacing w:after="0" w:line="360" w:lineRule="auto"/>
        <w:jc w:val="both"/>
      </w:pPr>
      <w:r>
        <w:rPr>
          <w:rFonts w:cs="Times New Roman"/>
        </w:rPr>
        <w:t>The dynamic aspect of</w:t>
      </w:r>
      <w:r>
        <w:rPr>
          <w:rFonts w:cs="Times New Roman"/>
        </w:rPr>
        <w:t xml:space="preserve"> BOLD response in primary auditory regions of crocodiles are in agreement with the time lines established in the primary auditory system of birds </w:t>
      </w:r>
      <w:r>
        <w:fldChar w:fldCharType="begin"/>
      </w:r>
      <w:r>
        <w:instrText>ADDIN CSL_CITATION { "citationItems" : [ { "id" : "ITEM-1", "itemData" : { "DOI" : "10.1016/j.neuroimage.2004.</w:instrText>
      </w:r>
      <w:r>
        <w:instrText>12.058", "ISBN" : "1053-8119 (Print)\\r1053-8119 (Linking)", "ISSN" : "10538119", "PMID" : "15850742", "abstract" : "Auditory fMRI in humans has recently received increasing attention from cognitive neuroscientists as a tool to understand mental processing</w:instrText>
      </w:r>
      <w:r>
        <w:instrText xml:space="preserve"> of learned acoustic sequences and analyzing speech recognition and development of musical skills. The present study introduces this tool in a well-documented animal model for vocal learning, the songbird, and provides fundamental insight in the main techn</w:instrText>
      </w:r>
      <w:r>
        <w:instrText xml:space="preserve">ical issues associated with auditory fMRI in these songbirds. Stimulation protocols with various listening tasks lead to appropriate activation of successive relays in the songbirds' auditory pathway. The elicited BOLD response is also region and stimulus </w:instrText>
      </w:r>
      <w:r>
        <w:instrText>specific, and its temporal aspects provide accurate measures of the changes in brain physiology induced by the acoustic stimuli. Extensive repetition of an identical stimulus does not lead to habituation of the response in the primary or secondary telencep</w:instrText>
      </w:r>
      <w:r>
        <w:instrText xml:space="preserve">halic auditory regions of anesthetized subjects. The BOLD signal intensity changes during a stimulation and subsequent rest period have a very specific time course which shows a remarkable resemblance to auditory evoked BOLD responses commonly observed in </w:instrText>
      </w:r>
      <w:r>
        <w:instrText>human subjects. This observation indicates that auditory fMRI in the songbird may establish a link between auditory related neuro-imaging studies done in humans and the large body of neuro-ethological research on song learning and neuro-plasticity performe</w:instrText>
      </w:r>
      <w:r>
        <w:instrText>d in songbirds. ?? 2005 Elsevier Inc. All rights reserved.", "author" : [ { "dropping-particle" : "", "family" : "Meir", "given" : "Vincent", "non-dropping-particle" : "Van", "parse-names" : false, "suffix" : "" }, { "dropping-particle" : "", "family" : "B</w:instrText>
      </w:r>
      <w:r>
        <w:instrText>oumans", "given" : "Tiny", "non-dropping-particle" : "", "parse-names" : false, "suffix" : "" }, { "dropping-particle" : "", "family" : "Groof", "given" : "Geert", "non-dropping-particle" : "De", "parse-names" : false, "suffix" : "" }, { "dropping-particle</w:instrText>
      </w:r>
      <w:r>
        <w:instrText xml:space="preserve">" : "", "family" : "Audekerke", "given" : "Johan", "non-dropping-particle" : "Van", "parse-names" : false, "suffix" : "" }, { "dropping-particle" : "", "family" : "Smolders", "given" : "Alain", "non-dropping-particle" : "", "parse-names" : false, "suffix" </w:instrText>
      </w:r>
      <w:r>
        <w:instrText>: "" }, { "dropping-particle" : "", "family" : "Scheunders", "given" : "Paul", "non-dropping-particle" : "", "parse-names" : false, "suffix" : "" }, { "dropping-particle" : "", "family" : "Sijbers", "given" : "Jan", "non-dropping-particle" : "", "parse-nam</w:instrText>
      </w:r>
      <w:r>
        <w:instrText>es" : false, "suffix" : "" }, { "dropping-particle" : "", "family" : "Verhoye", "given" : "Marleen", "non-dropping-particle" : "", "parse-names" : false, "suffix" : "" }, { "dropping-particle" : "", "family" : "Balthazart", "given" : "Jacques", "non-droppi</w:instrText>
      </w:r>
      <w:r>
        <w:instrText>ng-particle" : "", "parse-names" : false, "suffix" : "" }, { "dropping-particle" : "", "family" : "Linden", "given" : "Annemie", "non-dropping-particle" : "Van Der", "parse-names" : false, "suffix" : "" } ], "container-title" : "NeuroImage", "id" : "ITEM-1</w:instrText>
      </w:r>
      <w:r>
        <w:instrText>", "issue" : "4", "issued" : { "date-parts" : [ [ "2005", "5", "1" ] ] }, "page" : "1242-1255", "title" : "Spatiotemporal properties of the BOLD response in the songbirds' auditory circuit during a variety of listening tasks", "type" : "article-journal", "</w:instrText>
      </w:r>
      <w:r>
        <w:instrText xml:space="preserve">volume" : "25" }, "uris" : [ "http://www.mendeley.com/documents/?uuid=e0a65732-febf-363b-87a1-d644c0530084" ] } ], "mendeley" : { "formattedCitation" : "[13]", "plainTextFormattedCitation" : "[13]", "previouslyFormattedCitation" : "[12]" }, "properties" : </w:instrText>
      </w:r>
      <w:r>
        <w:instrText>{  }, "schema" : "https://github.com/citation-style-language/schema/raw/master/csl-citation.json" }</w:instrText>
      </w:r>
      <w:r>
        <w:fldChar w:fldCharType="separate"/>
      </w:r>
      <w:bookmarkStart w:id="16" w:name="__Fieldmark__399_3916728419"/>
      <w:r>
        <w:rPr>
          <w:rFonts w:cs="Times New Roman"/>
        </w:rPr>
        <w:t>[13]</w:t>
      </w:r>
      <w:r>
        <w:fldChar w:fldCharType="end"/>
      </w:r>
      <w:bookmarkEnd w:id="16"/>
      <w:r>
        <w:rPr>
          <w:rFonts w:cs="Times New Roman"/>
        </w:rPr>
        <w:t>. In birds BOLD response peaks that range from 5-10s in Field L are very similar to those observed in the crocodile (6-10 s after stimulus onset for c</w:t>
      </w:r>
      <w:r>
        <w:rPr>
          <w:rFonts w:cs="Times New Roman"/>
        </w:rPr>
        <w:t>Au</w:t>
      </w:r>
      <w:r>
        <w:rPr>
          <w:rFonts w:cs="Times New Roman"/>
          <w:vertAlign w:val="subscript"/>
        </w:rPr>
        <w:t>I</w:t>
      </w:r>
      <w:r>
        <w:rPr>
          <w:rFonts w:cs="Times New Roman"/>
        </w:rPr>
        <w:t>, cAu</w:t>
      </w:r>
      <w:r>
        <w:rPr>
          <w:rFonts w:cs="Times New Roman"/>
          <w:vertAlign w:val="subscript"/>
        </w:rPr>
        <w:t>II</w:t>
      </w:r>
      <w:r>
        <w:rPr>
          <w:rFonts w:cs="Times New Roman"/>
        </w:rPr>
        <w:t xml:space="preserve">). Data on the hemodynamic response of higher order auditory regions of birds </w:t>
      </w:r>
      <w:r>
        <w:fldChar w:fldCharType="begin"/>
      </w:r>
      <w:r>
        <w:instrText>ADDIN CSL_CITATION { "citationItems" : [ { "id" : "ITEM-1", "itemData" : { "DOI" : "10.1016/j.neuroimage.2004.12.058", "ISBN" : "1053-8119 (Print)\\r1053-8119 (Linking)</w:instrText>
      </w:r>
      <w:r>
        <w:instrText>", "ISSN" : "10538119", "PMID" : "15850742", "abstract" : "Auditory fMRI in humans has recently received increasing attention from cognitive neuroscientists as a tool to understand mental processing of learned acoustic sequences and analyzing speech recogn</w:instrText>
      </w:r>
      <w:r>
        <w:instrText>ition and development of musical skills. The present study introduces this tool in a well-documented animal model for vocal learning, the songbird, and provides fundamental insight in the main technical issues associated with auditory fMRI in these songbir</w:instrText>
      </w:r>
      <w:r>
        <w:instrText>ds. Stimulation protocols with various listening tasks lead to appropriate activation of successive relays in the songbirds' auditory pathway. The elicited BOLD response is also region and stimulus specific, and its temporal aspects provide accurate measur</w:instrText>
      </w:r>
      <w:r>
        <w:instrText xml:space="preserve">es of the changes in brain physiology induced by the acoustic stimuli. Extensive repetition of an identical stimulus does not lead to habituation of the response in the primary or secondary telencephalic auditory regions of anesthetized subjects. The BOLD </w:instrText>
      </w:r>
      <w:r>
        <w:instrText>signal intensity changes during a stimulation and subsequent rest period have a very specific time course which shows a remarkable resemblance to auditory evoked BOLD responses commonly observed in human subjects. This observation indicates that auditory f</w:instrText>
      </w:r>
      <w:r>
        <w:instrText>MRI in the songbird may establish a link between auditory related neuro-imaging studies done in humans and the large body of neuro-ethological research on song learning and neuro-plasticity performed in songbirds. ?? 2005 Elsevier Inc. All rights reserved.</w:instrText>
      </w:r>
      <w:r>
        <w:instrText>", "author" : [ { "dropping-particle" : "", "family" : "Meir", "given" : "Vincent", "non-dropping-particle" : "Van", "parse-names" : false, "suffix" : "" }, { "dropping-particle" : "", "family" : "Boumans", "given" : "Tiny", "non-dropping-particle" : "", "</w:instrText>
      </w:r>
      <w:r>
        <w:instrText>parse-names" : false, "suffix" : "" }, { "dropping-particle" : "", "family" : "Groof", "given" : "Geert", "non-dropping-particle" : "De", "parse-names" : false, "suffix" : "" }, { "dropping-particle" : "", "family" : "Audekerke", "given" : "Johan", "non-dr</w:instrText>
      </w:r>
      <w:r>
        <w:instrText>opping-particle" : "Van", "parse-names" : false, "suffix" : "" }, { "dropping-particle" : "", "family" : "Smolders", "given" : "Alain", "non-dropping-particle" : "", "parse-names" : false, "suffix" : "" }, { "dropping-particle" : "", "family" : "Scheunders</w:instrText>
      </w:r>
      <w:r>
        <w:instrText xml:space="preserve">", "given" : "Paul", "non-dropping-particle" : "", "parse-names" : false, "suffix" : "" }, { "dropping-particle" : "", "family" : "Sijbers", "given" : "Jan", "non-dropping-particle" : "", "parse-names" : false, "suffix" : "" }, { "dropping-particle" : "", </w:instrText>
      </w:r>
      <w:r>
        <w:instrText>"family" : "Verhoye", "given" : "Marleen", "non-dropping-particle" : "", "parse-names" : false, "suffix" : "" }, { "dropping-particle" : "", "family" : "Balthazart", "given" : "Jacques", "non-dropping-particle" : "", "parse-names" : false, "suffix" : "" },</w:instrText>
      </w:r>
      <w:r>
        <w:instrText xml:space="preserve"> { "dropping-particle" : "", "family" : "Linden", "given" : "Annemie", "non-dropping-particle" : "Van Der", "parse-names" : false, "suffix" : "" } ], "container-title" : "NeuroImage", "id" : "ITEM-1", "issue" : "4", "issued" : { "date-parts" : [ [ "2005", </w:instrText>
      </w:r>
      <w:r>
        <w:instrText>"5", "1" ] ] }, "page" : "1242-1255", "title" : "Spatiotemporal properties of the BOLD response in the songbirds' auditory circuit during a variety of listening tasks", "type" : "article-journal", "volume" : "25" }, "uris" : [ "http://www.mendeley.com/docu</w:instrText>
      </w:r>
      <w:r>
        <w:instrText>ments/?uuid=e0a65732-febf-363b-87a1-d644c0530084" ] } ], "mendeley" : { "formattedCitation" : "[13]", "plainTextFormattedCitation" : "[13]", "previouslyFormattedCitation" : "[12]" }, "properties" : {  }, "schema" : "https://github.com/citation-style-langua</w:instrText>
      </w:r>
      <w:r>
        <w:instrText>ge/schema/raw/master/csl-citation.json" }</w:instrText>
      </w:r>
      <w:r>
        <w:fldChar w:fldCharType="separate"/>
      </w:r>
      <w:bookmarkStart w:id="17" w:name="__Fieldmark__412_3916728419"/>
      <w:r>
        <w:rPr>
          <w:rFonts w:cs="Times New Roman"/>
        </w:rPr>
        <w:t>[13]</w:t>
      </w:r>
      <w:r>
        <w:fldChar w:fldCharType="end"/>
      </w:r>
      <w:bookmarkEnd w:id="17"/>
      <w:r>
        <w:rPr>
          <w:rFonts w:cs="Times New Roman"/>
        </w:rPr>
        <w:t xml:space="preserve"> report BOLD response peaks after about 10-20s in NCM. These values are longer than the initial peak time in the comparable region of the crocodile brain (cAu</w:t>
      </w:r>
      <w:r>
        <w:rPr>
          <w:rFonts w:cs="Times New Roman"/>
          <w:vertAlign w:val="subscript"/>
        </w:rPr>
        <w:t>III</w:t>
      </w:r>
      <w:r>
        <w:rPr>
          <w:rFonts w:cs="Times New Roman"/>
        </w:rPr>
        <w:t>, 4-7s). In terms of signal strength, the maxim</w:t>
      </w:r>
      <w:r>
        <w:rPr>
          <w:rFonts w:cs="Times New Roman"/>
        </w:rPr>
        <w:t>um BOLD signal change we observed in crocodiles was 0.7% using a gradient echo EPI sequence with TE=30ms at 7T scanner which is much lower than the signal strength in mammals like monkeys (</w:t>
      </w:r>
      <w:r>
        <w:fldChar w:fldCharType="begin"/>
      </w:r>
      <w:r>
        <w:instrText>ADDIN CSL_CITATION { "citationItems" : [ { "id" : "ITEM-1", "itemDa</w:instrText>
      </w:r>
      <w:r>
        <w:instrText xml:space="preserve">ta" : { "DOI" : "10.1016/j.neuroimage.2009.12.103", "ISBN" : "1095-9572 (Electronic)\\r1053-8119 (Linking)", "ISSN" : "10538119", "PMID" : "20053384", "abstract" : "Non-human-primate fMRI is becoming increasingly recognised as the missing link between the </w:instrText>
      </w:r>
      <w:r>
        <w:instrText>widely applied methods of human imaging and intracortical animal electrophysiology. A crucial requirement for the optimal application of this method is the precise knowledge of the time course of the Blood Oxygenation Level Dependent (BOLD) signal. We mapp</w:instrText>
      </w:r>
      <w:r>
        <w:instrText>ed the BOLD signal time course in the inferior colliculus (IC), medial geniculate body (MGB) and in tonotopically defined fields in the auditory cortex of two macaques. The results show little differences in the BOLD-signal time courses within the auditory</w:instrText>
      </w:r>
      <w:r>
        <w:instrText xml:space="preserve"> pathway. However, we observed systematic differences in the magnitude of the change in the BOLD signal with significantly stronger signal changes in field A1 of the auditory cortex compared to field R. The measured time course of the signal was in good ag</w:instrText>
      </w:r>
      <w:r>
        <w:instrText>reement with similar studies in human auditory cortex but showed considerable differences to data reported from macaque visual cortex. Consistent with the studies in humans we measured a peak in the BOLD response around 4 s after the onset of 2-s broadband</w:instrText>
      </w:r>
      <w:r>
        <w:instrText xml:space="preserve"> noise stimuli while previous studies recorded from the primary visual cortex of the same species reported the earliest peaks to short visual stimuli several seconds later. The comparison of our results with previous studies does not support differences in</w:instrText>
      </w:r>
      <w:r>
        <w:instrText xml:space="preserve"> haemodynamic responses within the auditory system between human and non-human primates. Furthermore, the data will aid optimal design of future auditory fMRI studies in non-human primates. ?? 2009 Elsevier Inc. All rights reserved.", "author" : [ { "dropp</w:instrText>
      </w:r>
      <w:r>
        <w:instrText>ing-particle" : "", "family" : "Baumann", "given" : "Simon", "non-dropping-particle" : "", "parse-names" : false, "suffix" : "" }, { "dropping-particle" : "", "family" : "Griffiths", "given" : "Timothy D.", "non-dropping-particle" : "", "parse-names" : fal</w:instrText>
      </w:r>
      <w:r>
        <w:instrText xml:space="preserve">se, "suffix" : "" }, { "dropping-particle" : "", "family" : "Rees", "given" : "Adrian", "non-dropping-particle" : "", "parse-names" : false, "suffix" : "" }, { "dropping-particle" : "", "family" : "Hunter", "given" : "David", "non-dropping-particle" : "", </w:instrText>
      </w:r>
      <w:r>
        <w:instrText>"parse-names" : false, "suffix" : "" }, { "dropping-particle" : "", "family" : "Sun", "given" : "Li", "non-dropping-particle" : "", "parse-names" : false, "suffix" : "" }, { "dropping-particle" : "", "family" : "Thiele", "given" : "Alexander", "non-droppin</w:instrText>
      </w:r>
      <w:r>
        <w:instrText>g-particle" : "", "parse-names" : false, "suffix" : "" } ], "container-title" : "NeuroImage", "id" : "ITEM-1", "issue" : "3", "issued" : { "date-parts" : [ [ "2010" ] ] }, "page" : "1099-1108", "title" : "Characterisation of the BOLD response time course a</w:instrText>
      </w:r>
      <w:r>
        <w:instrText xml:space="preserve">t different levels of the auditory pathway in non-human primates", "type" : "article-journal", "volume" : "50" }, "uris" : [ "http://www.mendeley.com/documents/?uuid=65496356-f4df-3cae-8e67-3a9163e1c0b1" ] } ], "mendeley" : { "formattedCitation" : "[14]", </w:instrText>
      </w:r>
      <w:r>
        <w:instrText>"plainTextFormattedCitation" : "[14]", "previouslyFormattedCitation" : "[13]" }, "properties" : {  }, "schema" : "https://github.com/citation-style-language/schema/raw/master/csl-citation.json" }</w:instrText>
      </w:r>
      <w:r>
        <w:fldChar w:fldCharType="separate"/>
      </w:r>
      <w:bookmarkStart w:id="18" w:name="__Fieldmark__421_3916728419"/>
      <w:r>
        <w:rPr>
          <w:rFonts w:cs="Times New Roman"/>
        </w:rPr>
        <w:t>[14]</w:t>
      </w:r>
      <w:r>
        <w:fldChar w:fldCharType="end"/>
      </w:r>
      <w:bookmarkEnd w:id="18"/>
      <w:r>
        <w:rPr>
          <w:rFonts w:cs="Times New Roman"/>
        </w:rPr>
        <w:t xml:space="preserve"> auditory stimulation, maximum BOLD change 3%) or huma</w:t>
      </w:r>
      <w:r>
        <w:rPr>
          <w:rFonts w:cs="Times New Roman"/>
        </w:rPr>
        <w:t>ns (</w:t>
      </w:r>
      <w:r>
        <w:fldChar w:fldCharType="begin"/>
      </w:r>
      <w:r>
        <w:instrText>ADDIN CSL_CITATION { "citationItems" : [ { "id" : "ITEM-1", "itemData" : { "DOI" : "10.1002/mrm.10015", "ISBN" : "0740-3194 (Print)\\r0740-3194 (Linking)", "ISSN" : "07403194", "PMID" : "11754447", "abstract" : "Event-related functional magnetic resona</w:instrText>
      </w:r>
      <w:r>
        <w:instrText xml:space="preserve">nce imaging (fMRI) was applied to investigate blood oxygen level dependent (BOLD) responses in the human auditory system. Auditory fMRI is hindered by the disturbing acoustical noise of echo planar imaging (EPI). A sparse acquisition technique was used in </w:instrText>
      </w:r>
      <w:r>
        <w:instrText xml:space="preserve">which the delayed hemodynamic response was imaged at discrete sampling time-points after a brief auditory stimulus. Long repetition times (10 heartbeats (HBs)) were used to avoid interactions between the activation due to the sound stimulation and scanner </w:instrText>
      </w:r>
      <w:r>
        <w:instrText>noise. In addition, only a single slice was acquired, to ensure that the scanner noise was minimal in duration and intensity. The image acquisition was triggered by the HB to prevent artifacts from cardiac-related brainstem motion. An image was acquired ev</w:instrText>
      </w:r>
      <w:r>
        <w:instrText>ery 10th HB. Significant hemodynamic BOLD time-course responses were measured from the primary and secondary auditory cortices, as well as the inferior colliculi in the brainstem. No systematic differences were found between the cerebral cortex and the bra</w:instrText>
      </w:r>
      <w:r>
        <w:instrText>instem in terms of activation amplitude or in onset time of the hemodynamic response. Apparently, the slow dynamic nature of the BOLD response signal is similar across spatially separated auditory brain regions, suggesting a corresponding design of vessels</w:instrText>
      </w:r>
      <w:r>
        <w:instrText xml:space="preserve"> and capillaries.", "author" : [ { "dropping-particle" : "", "family" : "Backes", "given" : "W. H.", "non-dropping-particle" : "", "parse-names" : false, "suffix" : "" }, { "dropping-particle" : "", "family" : "Dijk", "given" : "P.", "non-dropping-particle</w:instrText>
      </w:r>
      <w:r>
        <w:instrText>" : "Van", "parse-names" : false, "suffix" : "" } ], "container-title" : "Magnetic Resonance in Medicine", "id" : "ITEM-1", "issue" : "1", "issued" : { "date-parts" : [ [ "2002", "1" ] ] }, "page" : "90-96", "publisher" : "John Wiley &amp; Sons, Inc.", "title"</w:instrText>
      </w:r>
      <w:r>
        <w:instrText xml:space="preserve"> : "Simultaneous sampling of event-related BOLD responses in auditory cortex and brainstem", "type" : "article-journal", "volume" : "47" }, "uris" : [ "http://www.mendeley.com/documents/?uuid=2c6c47da-bcd9-3274-b70f-bb586c8cae65" ] } ], "mendeley" : { "for</w:instrText>
      </w:r>
      <w:r>
        <w:instrText>mattedCitation" : "[15]", "plainTextFormattedCitation" : "[15]", "previouslyFormattedCitation" : "[14]" }, "properties" : {  }, "schema" : "https://github.com/citation-style-language/schema/raw/master/csl-citation.json" }</w:instrText>
      </w:r>
      <w:r>
        <w:fldChar w:fldCharType="separate"/>
      </w:r>
      <w:bookmarkStart w:id="19" w:name="__Fieldmark__426_3916728419"/>
      <w:r>
        <w:rPr>
          <w:rFonts w:cs="Times New Roman"/>
        </w:rPr>
        <w:t>[15]</w:t>
      </w:r>
      <w:r>
        <w:fldChar w:fldCharType="end"/>
      </w:r>
      <w:bookmarkEnd w:id="19"/>
      <w:r>
        <w:rPr>
          <w:rFonts w:cs="Times New Roman"/>
        </w:rPr>
        <w:t>, auditory stimulation, maxi</w:t>
      </w:r>
      <w:r>
        <w:rPr>
          <w:rFonts w:cs="Times New Roman"/>
        </w:rPr>
        <w:t xml:space="preserve">mum BOLD change 2%). In rats, strong BOLD responses (&gt;1%) have been reported at 7T </w:t>
      </w:r>
      <w:r>
        <w:fldChar w:fldCharType="begin"/>
      </w:r>
      <w:r>
        <w:instrText>ADDIN CSL_CITATION { "citationItems" : [ { "id" : "ITEM-1", "itemData" : { "DOI" : "00400.2005 [pii]\\r10.1152/jn.00400.2005", "ISBN" : "0022-3077 (Print)", "PMID" : "163940</w:instrText>
      </w:r>
      <w:r>
        <w:instrText>78", "abstract" : "The neurophysiology of the rodent visual system has mainly been investigated by invasive and ex-vivo techniques providing fragmented data. This area of research has been deprived of functional MRI studies based on blood oxygenation level</w:instrText>
      </w:r>
      <w:r>
        <w:instrText xml:space="preserve"> dependent (BOLD) contrast, which allows a whole brain approach with a high spatial and temporal resolution. In the present study, we looked at the neurovascular response properties of the visual system of the pigmented rat, focusing on the visual cortex (</w:instrText>
      </w:r>
      <w:r>
        <w:instrText>VC), the superior colliculus (SC) and the flocculus-paraflocculus of the cerebellum (FL-PFL), using BOLD fMRI under domitor anesthesia. Visual stimulation was performed monocularly or binocularly while flashing light from a strobe unit was presented. For e</w:instrText>
      </w:r>
      <w:r>
        <w:instrText>ach structure, we assessed the flashing frequency that evoked the optimal BOLD response: Neither the VC nor the FL-PFL displayed frequency dependence during monocular visual stimulation, but were most sensitive to low frequencies (1-5 Hz) when flashing lig</w:instrText>
      </w:r>
      <w:r>
        <w:instrText xml:space="preserve">ht was provided binocularly. The SC responded optimally to high flashing rates (8-12 Hz) during both monocular and binocular stimulation. The signal intensity changes in the VC and FL-PFL were locked to the stimulation period, whereas the BOLD response in </w:instrText>
      </w:r>
      <w:r>
        <w:instrText>the SC showed a similar onset but a very slow recovery at offset. The VC and FL-PFL, but not the SC, showed signs of binocular competition. The observed correlation between frequency-dependent responses of different visual areas during binocular visual pre</w:instrText>
      </w:r>
      <w:r>
        <w:instrText xml:space="preserve">sentation suggests a functional relationship between the VC and FL-PFL rather than between the SC and FL-PFL.", "author" : [ { "dropping-particle" : "", "family" : "Camp", "given" : "Nadja", "non-dropping-particle" : "Van", "parse-names" : false, "suffix" </w:instrText>
      </w:r>
      <w:r>
        <w:instrText>: "" }, { "dropping-particle" : "", "family" : "Verhoye", "given" : "Marleen", "non-dropping-particle" : "", "parse-names" : false, "suffix" : "" }, { "dropping-particle" : "", "family" : "Zeeuw", "given" : "Chris I.", "non-dropping-particle" : "De", "pars</w:instrText>
      </w:r>
      <w:r>
        <w:instrText>e-names" : false, "suffix" : "" }, { "dropping-particle" : "", "family" : "Linden", "given" : "Annemie", "non-dropping-particle" : "Van der", "parse-names" : false, "suffix" : "" } ], "container-title" : "J Neurophysiol", "id" : "ITEM-1", "issue" : "5", "i</w:instrText>
      </w:r>
      <w:r>
        <w:instrText>ssued" : { "date-parts" : [ [ "2006" ] ] }, "page" : "3164-3170", "title" : "Light stimulus frequency dependence of activity in the rat visual system as studied with high-resolution BOLD fMRI", "type" : "article-journal", "volume" : "95" }, "uris" : [ "htt</w:instrText>
      </w:r>
      <w:r>
        <w:instrText>p://www.mendeley.com/documents/?uuid=e813fd9f-ecca-3e2d-a2c6-e2855f406e6b" ] } ], "mendeley" : { "formattedCitation" : "[16]", "plainTextFormattedCitation" : "[16]", "previouslyFormattedCitation" : "[15]" }, "properties" : {  }, "schema" : "https://github.</w:instrText>
      </w:r>
      <w:r>
        <w:instrText>com/citation-style-language/schema/raw/master/csl-citation.json" }</w:instrText>
      </w:r>
      <w:r>
        <w:fldChar w:fldCharType="separate"/>
      </w:r>
      <w:bookmarkStart w:id="20" w:name="__Fieldmark__432_3916728419"/>
      <w:r>
        <w:rPr>
          <w:rFonts w:cs="Times New Roman"/>
        </w:rPr>
        <w:t>[16]</w:t>
      </w:r>
      <w:r>
        <w:fldChar w:fldCharType="end"/>
      </w:r>
      <w:bookmarkEnd w:id="20"/>
      <w:r>
        <w:rPr>
          <w:rFonts w:cs="Times New Roman"/>
        </w:rPr>
        <w:t xml:space="preserve"> and 11.5T </w:t>
      </w:r>
      <w:r>
        <w:fldChar w:fldCharType="begin"/>
      </w:r>
      <w:r>
        <w:instrText>ADDIN CSL_CITATION { "citationItems" : [ { "id" : "ITEM-1", "itemData" : { "DOI" : "10.1093/cercor/bhs008", "ISSN" : "10473211", "PMID" : "22298731", "abstract" : "Neuroima</w:instrText>
      </w:r>
      <w:r>
        <w:instrText>ging studies of functional magnetic resonance imaging (fMRI) and electrophysiology provide the linkage between neural activity and the blood oxygenation level-dependent (BOLD) response. Here, BOLD responses to light flashes were imaged at 11.7T and compare</w:instrText>
      </w:r>
      <w:r>
        <w:instrText>d with neural recordings from superior colliculus (SC) and primary visual cortex (V1) in rat brain-regions with different basal blood flow and energy demand. Our goal was to assess neurovascular coupling in V1 and SC as reflected by temporal/spatial varian</w:instrText>
      </w:r>
      <w:r>
        <w:instrText>ces of impulse response functions (IRFs) and assess, if any, implications for general linear modeling (GLM) of BOLD responses. Light flashes induced high magnitude neural/BOLD responses reproducibly from both regions. However, neural/BOLD responses from SC</w:instrText>
      </w:r>
      <w:r>
        <w:instrText xml:space="preserve"> and V1 were markedly different. SC signals followed the boxcar shape of the stimulation paradigm at all flash rates, whereas V1 signals were characterized by onset/offset transients that exhibited different flash rate dependencies. We find that IRF(SC) is</w:instrText>
      </w:r>
      <w:r>
        <w:instrText xml:space="preserve"> generally time-invariant across wider flash rate range compared with IRF(V1), whereas IRF(SC) and IRF(V1) are both space invariant. These results illustrate the importance of measured neural signals for interpretation of fMRI by showing that GLM of BOLD r</w:instrText>
      </w:r>
      <w:r>
        <w:instrText>esponses may lead to misinterpretation of neural activity in some cases.", "author" : [ { "dropping-particle" : "", "family" : "Bailey", "given" : "Christopher J.", "non-dropping-particle" : "", "parse-names" : false, "suffix" : "" }, { "dropping-particle"</w:instrText>
      </w:r>
      <w:r>
        <w:instrText xml:space="preserve"> : "", "family" : "Sanganahalli", "given" : "Basavaraju G.", "non-dropping-particle" : "", "parse-names" : false, "suffix" : "" }, { "dropping-particle" : "", "family" : "Herman", "given" : "Peter", "non-dropping-particle" : "", "parse-names" : false, "suf</w:instrText>
      </w:r>
      <w:r>
        <w:instrText>fix" : "" }, { "dropping-particle" : "", "family" : "Blumenfeld", "given" : "Hal", "non-dropping-particle" : "", "parse-names" : false, "suffix" : "" }, { "dropping-particle" : "", "family" : "Gjedde", "given" : "Albert", "non-dropping-particle" : "", "par</w:instrText>
      </w:r>
      <w:r>
        <w:instrText>se-names" : false, "suffix" : "" }, { "dropping-particle" : "", "family" : "Hyder", "given" : "Fahmeed", "non-dropping-particle" : "", "parse-names" : false, "suffix" : "" } ], "container-title" : "Cerebral Cortex", "id" : "ITEM-1", "issue" : "1", "issued"</w:instrText>
      </w:r>
      <w:r>
        <w:instrText xml:space="preserve"> : { "date-parts" : [ [ "2013", "1" ] ] }, "page" : "210-222", "title" : "Analysis of time and space invariance of BOLD responses in the rat visual system", "type" : "article-journal", "volume" : "23" }, "uris" : [ "http://www.mendeley.com/documents/?uuid=</w:instrText>
      </w:r>
      <w:r>
        <w:instrText>d1af23c5-03c8-3f50-abe1-16a240f358ec" ] } ], "mendeley" : { "formattedCitation" : "[17]", "plainTextFormattedCitation" : "[17]", "previouslyFormattedCitation" : "[16]" }, "properties" : {  }, "schema" : "https://github.com/citation-style-language/schema/ra</w:instrText>
      </w:r>
      <w:r>
        <w:instrText>w/master/csl-citation.json" }</w:instrText>
      </w:r>
      <w:r>
        <w:fldChar w:fldCharType="separate"/>
      </w:r>
      <w:bookmarkStart w:id="21" w:name="__Fieldmark__437_3916728419"/>
      <w:r>
        <w:rPr>
          <w:rFonts w:cs="Times New Roman"/>
        </w:rPr>
        <w:t>[17]</w:t>
      </w:r>
      <w:r>
        <w:fldChar w:fldCharType="end"/>
      </w:r>
      <w:bookmarkEnd w:id="21"/>
      <w:r>
        <w:rPr>
          <w:rFonts w:cs="Times New Roman"/>
        </w:rPr>
        <w:t xml:space="preserve"> using EPI at echotimes of 15 to 19ms. In mice, Niranjan et</w:t>
      </w:r>
      <w:r>
        <w:rPr>
          <w:rFonts w:cs="Times New Roman"/>
        </w:rPr>
        <w:t xml:space="preserve"> </w:t>
      </w:r>
      <w:r>
        <w:rPr>
          <w:rFonts w:cs="Times New Roman"/>
        </w:rPr>
        <w:t>al</w:t>
      </w:r>
      <w:r>
        <w:rPr>
          <w:rFonts w:cs="Times New Roman"/>
        </w:rPr>
        <w:t xml:space="preserve"> </w:t>
      </w:r>
      <w:r>
        <w:rPr>
          <w:rFonts w:cs="Times New Roman"/>
        </w:rPr>
        <w:t xml:space="preserve"> </w:t>
      </w:r>
      <w:r>
        <w:fldChar w:fldCharType="begin"/>
      </w:r>
      <w:r>
        <w:instrText>ADDIN CSL_CITATION { "citationItems" : [ { "id" : "ITEM-1", "itemData" : { "DOI" : "10.1016/j.neuroimage.2016.06.015", "ISSN" : "10538119", "author" : [ {</w:instrText>
      </w:r>
      <w:r>
        <w:instrText xml:space="preserve"> "dropping-particle" : "", "family" : "Niranjan", "given" : "Arun", "non-dropping-particle" : "", "parse-names" : false, "suffix" : "" }, { "dropping-particle" : "", "family" : "Christie", "given" : "Isabel N.", "non-dropping-particle" : "", "parse-names" </w:instrText>
      </w:r>
      <w:r>
        <w:instrText>: false, "suffix" : "" }, { "dropping-particle" : "", "family" : "Solomon", "given" : "Samuel G.", "non-dropping-particle" : "", "parse-names" : false, "suffix" : "" }, { "dropping-particle" : "", "family" : "Wells", "given" : "Jack A.", "non-dropping-part</w:instrText>
      </w:r>
      <w:r>
        <w:instrText>icle" : "", "parse-names" : false, "suffix" : "" }, { "dropping-particle" : "", "family" : "Lythgoe", "given" : "Mark F.", "non-dropping-particle" : "", "parse-names" : false, "suffix" : "" } ], "container-title" : "NeuroImage", "id" : "ITEM-1", "issued" :</w:instrText>
      </w:r>
      <w:r>
        <w:instrText xml:space="preserve"> { "date-parts" : [ [ "2016", "10" ] ] }, "page" : "337-345", "title" : "fMRI mapping of the visual system in the mouse brain with interleaved snapshot GE-EPI", "type" : "article-journal", "volume" : "139" }, "uris" : [ "http://www.mendeley.com/documents/?</w:instrText>
      </w:r>
      <w:r>
        <w:instrText>uuid=d90ad659-76b6-3c4f-b256-724062cc9f1e" ] } ], "mendeley" : { "formattedCitation" : "[18]", "plainTextFormattedCitation" : "[18]", "previouslyFormattedCitation" : "[17]" }, "properties" : {  }, "schema" : "https://github.com/citation-style-language/sche</w:instrText>
      </w:r>
      <w:r>
        <w:instrText>ma/raw/master/csl-citation.json" }</w:instrText>
      </w:r>
      <w:r>
        <w:fldChar w:fldCharType="separate"/>
      </w:r>
      <w:bookmarkStart w:id="22" w:name="__Fieldmark__443_3916728419"/>
      <w:r>
        <w:rPr>
          <w:rFonts w:cs="Times New Roman"/>
        </w:rPr>
        <w:t>[18]</w:t>
      </w:r>
      <w:r>
        <w:fldChar w:fldCharType="end"/>
      </w:r>
      <w:bookmarkEnd w:id="22"/>
      <w:r>
        <w:rPr>
          <w:rFonts w:cs="Times New Roman"/>
        </w:rPr>
        <w:t xml:space="preserve"> reports max BOLD  &gt;1% </w:t>
      </w:r>
      <w:r>
        <w:rPr>
          <w:rFonts w:cs="Times New Roman"/>
        </w:rPr>
        <w:lastRenderedPageBreak/>
        <w:t xml:space="preserve">at 9.4T with TE=19ms. Also in birds, BOLD signal changes after auditory stimulation are higher than in crocodiles (e.g. </w:t>
      </w:r>
      <w:r>
        <w:fldChar w:fldCharType="begin"/>
      </w:r>
      <w:r>
        <w:instrText>ADDIN CSL_CITATION { "citationItems" : [ { "id" : "ITEM-1", "itemData" :</w:instrText>
      </w:r>
      <w:r>
        <w:instrText xml:space="preserve"> { "DOI" : "10.1016/j.neuroimage.2004.12.058", "ISBN" : "1053-8119 (Print)\\r1053-8119 (Linking)", "ISSN" : "10538119", "PMID" : "15850742", "abstract" : "Auditory fMRI in humans has recently received increasing attention from cognitive neuroscientists as </w:instrText>
      </w:r>
      <w:r>
        <w:instrText>a tool to understand mental processing of learned acoustic sequences and analyzing speech recognition and development of musical skills. The present study introduces this tool in a well-documented animal model for vocal learning, the songbird, and provides</w:instrText>
      </w:r>
      <w:r>
        <w:instrText xml:space="preserve"> fundamental insight in the main technical issues associated with auditory fMRI in these songbirds. Stimulation protocols with various listening tasks lead to appropriate activation of successive relays in the songbirds' auditory pathway. The elicited BOLD</w:instrText>
      </w:r>
      <w:r>
        <w:instrText xml:space="preserve"> response is also region and stimulus specific, and its temporal aspects provide accurate measures of the changes in brain physiology induced by the acoustic stimuli. Extensive repetition of an identical stimulus does not lead to habituation of the respons</w:instrText>
      </w:r>
      <w:r>
        <w:instrText>e in the primary or secondary telencephalic auditory regions of anesthetized subjects. The BOLD signal intensity changes during a stimulation and subsequent rest period have a very specific time course which shows a remarkable resemblance to auditory evoke</w:instrText>
      </w:r>
      <w:r>
        <w:instrText xml:space="preserve">d BOLD responses commonly observed in human subjects. This observation indicates that auditory fMRI in the songbird may establish a link between auditory related neuro-imaging studies done in humans and the large body of neuro-ethological research on song </w:instrText>
      </w:r>
      <w:r>
        <w:instrText>learning and neuro-plasticity performed in songbirds. ?? 2005 Elsevier Inc. All rights reserved.", "author" : [ { "dropping-particle" : "", "family" : "Meir", "given" : "Vincent", "non-dropping-particle" : "Van", "parse-names" : false, "suffix" : "" }, { "</w:instrText>
      </w:r>
      <w:r>
        <w:instrText>dropping-particle" : "", "family" : "Boumans", "given" : "Tiny", "non-dropping-particle" : "", "parse-names" : false, "suffix" : "" }, { "dropping-particle" : "", "family" : "Groof", "given" : "Geert", "non-dropping-particle" : "De", "parse-names" : false,</w:instrText>
      </w:r>
      <w:r>
        <w:instrText xml:space="preserve"> "suffix" : "" }, { "dropping-particle" : "", "family" : "Audekerke", "given" : "Johan", "non-dropping-particle" : "Van", "parse-names" : false, "suffix" : "" }, { "dropping-particle" : "", "family" : "Smolders", "given" : "Alain", "non-dropping-particle" </w:instrText>
      </w:r>
      <w:r>
        <w:instrText>: "", "parse-names" : false, "suffix" : "" }, { "dropping-particle" : "", "family" : "Scheunders", "given" : "Paul", "non-dropping-particle" : "", "parse-names" : false, "suffix" : "" }, { "dropping-particle" : "", "family" : "Sijbers", "given" : "Jan", "n</w:instrText>
      </w:r>
      <w:r>
        <w:instrText>on-dropping-particle" : "", "parse-names" : false, "suffix" : "" }, { "dropping-particle" : "", "family" : "Verhoye", "given" : "Marleen", "non-dropping-particle" : "", "parse-names" : false, "suffix" : "" }, { "dropping-particle" : "", "family" : "Balthaz</w:instrText>
      </w:r>
      <w:r>
        <w:instrText>art", "given" : "Jacques", "non-dropping-particle" : "", "parse-names" : false, "suffix" : "" }, { "dropping-particle" : "", "family" : "Linden", "given" : "Annemie", "non-dropping-particle" : "Van Der", "parse-names" : false, "suffix" : "" } ], "container</w:instrText>
      </w:r>
      <w:r>
        <w:instrText>-title" : "NeuroImage", "id" : "ITEM-1", "issue" : "4", "issued" : { "date-parts" : [ [ "2005", "5", "1" ] ] }, "page" : "1242-1255", "title" : "Spatiotemporal properties of the BOLD response in the songbirds' auditory circuit during a variety of listening</w:instrText>
      </w:r>
      <w:r>
        <w:instrText xml:space="preserve"> tasks", "type" : "article-journal", "volume" : "25" }, "uris" : [ "http://www.mendeley.com/documents/?uuid=e0a65732-febf-363b-87a1-d644c0530084" ] } ], "mendeley" : { "formattedCitation" : "[13]", "plainTextFormattedCitation" : "[13]", "previouslyFormatte</w:instrText>
      </w:r>
      <w:r>
        <w:instrText>dCitation" : "[12]" }, "properties" : {  }, "schema" : "https://github.com/citation-style-language/schema/raw/master/csl-citation.json" }</w:instrText>
      </w:r>
      <w:r>
        <w:fldChar w:fldCharType="separate"/>
      </w:r>
      <w:bookmarkStart w:id="23" w:name="__Fieldmark__449_3916728419"/>
      <w:r>
        <w:rPr>
          <w:rFonts w:cs="Times New Roman"/>
        </w:rPr>
        <w:t>[13]</w:t>
      </w:r>
      <w:r>
        <w:fldChar w:fldCharType="end"/>
      </w:r>
      <w:bookmarkEnd w:id="23"/>
      <w:r>
        <w:rPr>
          <w:rFonts w:cs="Times New Roman"/>
        </w:rPr>
        <w:t>, European starling, auditory stimulation, change 3%). This difference can be likely attributed to the reptilian</w:t>
      </w:r>
      <w:r>
        <w:rPr>
          <w:rFonts w:cs="Times New Roman"/>
        </w:rPr>
        <w:t xml:space="preserve"> nature of the Nile crocodile. In contrast to homoeothermic mammals and birds, a reptile has a metabolic rate, breathing rate, cardiac output and blood pressure which are much more temperature dependent </w:t>
      </w:r>
      <w:r>
        <w:fldChar w:fldCharType="begin"/>
      </w:r>
      <w:r>
        <w:instrText>ADDIN CSL_CITATION { "citationItems" : [ { "id" : "IT</w:instrText>
      </w:r>
      <w:r>
        <w:instrText xml:space="preserve">EM-1", "itemData" : { "DOI" : "10.1016/0034-5687(80)90083-3", "ISBN" : "0034-5687 (Print)\\r0034-5687 (Linking)", "ISSN" : "00345687", "PMID" : "6779366", "abstract" : "The blood of Crocodylus porosus has a high oxygen capacity (5.5 mmol/l-1 at hematocrit </w:instrText>
      </w:r>
      <w:r>
        <w:instrText>= 28%). The shape of the oxygen equilibrium curve of the blood is described by 'n' = 2.7 in the physiological range of PCO2, and its oxygen affinity is described by the equation: log10P50 = 0.4163 + 0.0200 T ??C + 0.3763 log10PCO2. Thus, the blood has a lo</w:instrText>
      </w:r>
      <w:r>
        <w:instrText>w oxygen affinity which is strongly sensitive to both temperature and PCO2. There is a high buffering capacity, 37 mmol/(l/pH)-1, and a large Haldane effect, 0.93 mmol CO2 (mmol Hb)-1. The fixed-acid Bohr effect seems to be much reduced in comparison to th</w:instrText>
      </w:r>
      <w:r>
        <w:instrText>e CO2-specific Bohr effect. We discuss the possibility that low levels of red cell organic phosphate may be an adaptive strategy to desensitise P50 to changes in plasma pH. The significance of the blood respiratory properties is discussed in terms of the l</w:instrText>
      </w:r>
      <w:r>
        <w:instrText xml:space="preserve">ife style of C. porosus, particularly in relation to ectothermy and diving.", "author" : [ { "dropping-particle" : "", "family" : "Grigg", "given" : "Gordon C.", "non-dropping-particle" : "", "parse-names" : false, "suffix" : "" }, { "dropping-particle" : </w:instrText>
      </w:r>
      <w:r>
        <w:instrText>"", "family" : "Cairncross", "given" : "Michael", "non-dropping-particle" : "", "parse-names" : false, "suffix" : "" } ], "container-title" : "Respiration Physiology", "id" : "ITEM-1", "issue" : "3", "issued" : { "date-parts" : [ [ "1980", "9" ] ] }, "page</w:instrText>
      </w:r>
      <w:r>
        <w:instrText>" : "367-380", "title" : "Respiratory properties of the blood of Crocodylus porosus", "type" : "article-journal", "volume" : "41" }, "uris" : [ "http://www.mendeley.com/documents/?uuid=7d547589-9456-390d-bfb3-975c02176d8c" ] }, { "id" : "ITEM-2", "itemData</w:instrText>
      </w:r>
      <w:r>
        <w:instrText>" : { "abstract" : "The ventilatory pattern in the Nile crocodile consists of episodes of breathing, interrupted by periods of breath-holding, the latter oc-cupying 80% of total time during normal breathing at 25OC. End-tidal gas composition varied with th</w:instrText>
      </w:r>
      <w:r>
        <w:instrText>e periodic breathing but Po, was always high (Po, &lt; 110 torr) and Pco, low (Pco, &lt; 25 torr). The alveolar gas exchange ratio, RE, was very low during the non-ventilatory periods (R E 2 0.51, but increased markedly during ventilation. Breathing of hypoxic a</w:instrText>
      </w:r>
      <w:r>
        <w:instrText>nd hypercapnic gases caused a pronounced decrease in the duration of breath-holds. Hypercapnia decreased breathing frequency dur-ing ventilatory periods, but increased tidal volume. The results are discussed in relation to the practice of prolonged breath-</w:instrText>
      </w:r>
      <w:r>
        <w:instrText>hold-ing associated with diving in crocodiles Ventilation in airbreathing vertebrates, ex-cept nondiving birds and mammals, is often periodic with series of breaths alternating with periods of breath-holding, a pattern which is typical in crocodiles (Naife</w:instrText>
      </w:r>
      <w:r>
        <w:instrText>h et al., '70). Periodic breathing will cause fluctuating pressures in the alveolar gas as shown earlier in the fresh water turtles Chelys fimbriata (Lenfant et al., '70) and Pelomedusa subrufa (Glass et al., '78). The present study inquires what the varia</w:instrText>
      </w:r>
      <w:r>
        <w:instrText>tions in alveolar gas pressures are during normal undisturbed breathing in the Nile crocodile, Crocodylus niloticus, and what effects changes in end-tidal gas composi-tion has on the breathing pattern. Since a pe-riodic breather can alter breath-holds as w</w:instrText>
      </w:r>
      <w:r>
        <w:instrText>ell as frequency of breathing while retaining the breath-hold duration, we additionally sought answers to how the breathing pattern changed when ventilation was increased in response to hypoxic and hypercapnic gas mixtures.", "author" : [ { "dropping-parti</w:instrText>
      </w:r>
      <w:r>
        <w:instrText>cle" : "", "family" : "Glass", "given" : "M L", "non-dropping-particle" : "", "parse-names" : false, "suffix" : "" }, { "dropping-particle" : "", "family" : "Johansen", "given" : "And K", "non-dropping-particle" : "", "parse-names" : false, "suffix" : "" }</w:instrText>
      </w:r>
      <w:r>
        <w:instrText xml:space="preserve"> ], "id" : "ITEM-2", "issued" : { "date-parts" : [ [ "0" ] ] }, "title" : "Periodic Breathing in the Crocodile, Crocodylus niloticus: Consequences for the Gas Exchange Ratio and Control of Breathing", "type" : "article-journal" }, "uris" : [ "http://www.me</w:instrText>
      </w:r>
      <w:r>
        <w:instrText>ndeley.com/documents/?uuid=bb0ffc89-7a4e-36b8-9e7b-b3e67a183072" ] }, { "id" : "ITEM-3", "itemData" : { "DOI" : "10.1093/icb/19.1.239", "ISBN" : "0003-1569", "ISSN" : "15407063", "PMID" : "3882433", "abstract" : "Crocodilians, like other reptiles, regulate</w:instrText>
      </w:r>
      <w:r>
        <w:instrText xml:space="preserve"> their body temperatures by a combination of behavioral and physiological mechanisms. Behaviorally, they seek warm surface water or bask when cool and avoid overheating by the evaporation of water from their dorsum, evaporation of water by gaping or by ret</w:instrText>
      </w:r>
      <w:r>
        <w:instrText>reating to deep, cool water. Physiologically, crocodilians increase cutaneous thermal conductance by increasing blood flow to the skin (and subdermal musculature) during warming. This hastens the warming process. Cutaneous blood flow is reduced during gene</w:instrText>
      </w:r>
      <w:r>
        <w:instrText>ral cooling and locally if the body temperature exceeds skin temperature. This enables crocodilians to increase body temperature significantly while basking in cool shallow water. Large crocodilians appear to be able to alter their rates of heat exchange t</w:instrText>
      </w:r>
      <w:r>
        <w:instrText>o a larger extent than small ones and they can do so with less cardiovascular involvement. Large crocodilians, with their lower surface/volume ratio, are capable of producing sufficient metabolic heat to elevate their body temperature above water temperatu</w:instrText>
      </w:r>
      <w:r>
        <w:instrText>re.", "author" : [ { "dropping-particle" : "", "family" : "Smith", "given" : "E. Norbert", "non-dropping-particle" : "", "parse-names" : false, "suffix" : "" } ], "container-title" : "Integrative and Comparative Biology", "id" : "ITEM-3", "issue" : "1", "i</w:instrText>
      </w:r>
      <w:r>
        <w:instrText>ssued" : { "date-parts" : [ [ "1979", "2", "1" ] ] }, "page" : "239-247", "publisher" : "Oxford University Press", "title" : "Behavioral and physiological thermoregulation of crocodilians", "type" : "article-journal", "volume" : "19" }, "uris" : [ "http://</w:instrText>
      </w:r>
      <w:r>
        <w:instrText>www.mendeley.com/documents/?uuid=2418941b-c797-3bdb-855e-24aeba05c1f9" ] }, { "id" : "ITEM-4", "itemData" : { "abstract" : "The complex, multicameral lungs of the Nile crocodile are characterized by rows of tubular chambers, which in cranial and ventral lu</w:instrText>
      </w:r>
      <w:r>
        <w:instrText xml:space="preserve">ng regions are broad and sac-like. The inner surface of the chambers is enhanced by cubicles (ediculae), the capillary-bearing walls of which are often perforated. Extrabronchial communication among chambers is infrequent. The ediculae end in a network of </w:instrText>
      </w:r>
      <w:r>
        <w:instrText xml:space="preserve">myoelastic trabeculae, which face the central lumen of the chambers. The trabecular epithelium is similar to that of mammalian bronchi and contains isolated endocrine-like cells basally, whereas the edicular epithelium is similar to that of other reptiles </w:instrText>
      </w:r>
      <w:r>
        <w:instrText xml:space="preserve">and of mammals. The distribution of non-vascular smooth muscle, 64% in trabeculae and 36% in interedicular walls, is consistent with the hypothesis that these two antagonistically oriented muscle groups interact to effect lung patency. The volume-specific </w:instrText>
      </w:r>
      <w:r>
        <w:instrText>lung compliance is similar to that of much simpler, unicameral gekko lungs, implying that lung compliance is a function of parenchymal structure and not of primary structural type.", "author" : [ { "dropping-particle" : "", "family" : "Perry", "given" : "S</w:instrText>
      </w:r>
      <w:r>
        <w:instrText>teven F.", "non-dropping-particle" : "", "parse-names" : false, "suffix" : "" } ], "container-title" : "J. Exp. Biol.", "id" : "ITEM-4", "issue" : "1", "issued" : { "date-parts" : [ [ "1988" ] ] }, "page" : "99-117", "title" : "Functional Morphology of the</w:instrText>
      </w:r>
      <w:r>
        <w:instrText xml:space="preserve"> Lungs of the Nile Crocodile, Crocodylus niloticus: Non-Respiratory Parameters", "type" : "article-journal", "volume" : "117" }, "uris" : [ "http://www.mendeley.com/documents/?uuid=a603c8b3-a6e3-35a7-adb3-bae734f37265" ] }, { "id" : "ITEM-5", "itemData" : </w:instrText>
      </w:r>
      <w:r>
        <w:instrText>{ "DOI" : "10.1007/BF00691722", "ISBN" : "0174-1578", "ISSN" : "01741578", "abstract" : "The respiratory surface area (SAR) per kilogram body mass (MB), the harmonic mean thickness of the air-blood barrier (tauhtR) in the gas exchange tissue, and the anato</w:instrText>
      </w:r>
      <w:r>
        <w:instrText>mical diffusion factor (ADF=SAR/tauhtR per MB) were calculated for four juvenile Nile crocodiles. The ADF of three small specimens (mean MB=3.59 kg) was 625 cm2\u00b7mgrm\u20131\u00b7kg\u20131. The values varied considerably among individuals and were simi</w:instrText>
      </w:r>
      <w:r>
        <w:instrText>lar to that of a 5.68-kg specimen (593 cm2\u00b7mgrm\u20131\u00b7kg\u20131). Only 9% of the ADF is located in the anterior third of the lung, which because of its conical shape makes up only 14 percent of the total lung volume. Particularly in the middle t</w:instrText>
      </w:r>
      <w:r>
        <w:instrText>hird of the lung, the proximal region near the intrapulmonary bronchus displays a greater ratio of respiratory/non-respiratory surface areas than do more distally located sampling sites. The tauhtR is also significantly smaller proximally than distally. Th</w:instrText>
      </w:r>
      <w:r>
        <w:instrText>e cumulative ADF per unit MB is greater than that previously reported for this species on the basis of overall estimates of SAR and tauhtR, but is still less than that of lizards and testudinids. The disposition of ADF between distal air storage region and</w:instrText>
      </w:r>
      <w:r>
        <w:instrText xml:space="preserve"> the intrapulmonary bronchus is consistent with a bidirectional cross-current gas exchange model.", "author" : [ { "dropping-particle" : "", "family" : "Perry", "given" : "S. F.", "non-dropping-particle" : "", "parse-names" : false, "suffix" : "" } ], "con</w:instrText>
      </w:r>
      <w:r>
        <w:instrText>tainer-title" : "Journal of Comparative Physiology B", "id" : "ITEM-5", "issue" : "6", "issued" : { "date-parts" : [ [ "1990" ] ] }, "page" : "761-769", "publisher" : "Springer-Verlag", "title" : "Gas exchange strategy in the Nile crocodile: a morphometric</w:instrText>
      </w:r>
      <w:r>
        <w:instrText xml:space="preserve"> study", "type" : "article-journal", "volume" : "159" }, "uris" : [ "http://www.mendeley.com/documents/?uuid=ea7471e6-c42f-361a-a192-6db3680db903" ] }, { "id" : "ITEM-6", "itemData" : { "ISBN" : "0022-0949", "ISSN" : "1477-9145", "PMID" : "9317958", "abstr</w:instrText>
      </w:r>
      <w:r>
        <w:instrText>act" : "Prolonged submergence imposes special demands on the cardiovascular system. Unlike the situation in diving birds and mammals, crocodilians have the ability to shunt blood away from the lungs, despite having an anatomically divided ventricle. This r</w:instrText>
      </w:r>
      <w:r>
        <w:instrText>emarkable cardiovascular flexibility is due in part to three anatomical peculiarities: (1) an 'extra' aorta (the left aorta) that leaves the right ventricle and allows the blood from the right ventricle to take an alternative route into the systemic circul</w:instrText>
      </w:r>
      <w:r>
        <w:instrText>ation instead of going to the lungs; (2) the foramen of Panizza, an aperture that connects the right and left aortas at their base immediately outside the ventricle; and (3) a set of connective tissue outpushings in the pulmonary outflow tract in the right</w:instrText>
      </w:r>
      <w:r>
        <w:instrText xml:space="preserve"> ventricle. Using high-resolution angioscopy, we have studied these structures in the beating crocodile heart and correlated their movements with in vivo pressure and flow recordings. The connective tissue outpushings in the pulmonary outflow tract represe</w:instrText>
      </w:r>
      <w:r>
        <w:instrText>nt an active mechanism used to restrict blood flow into the lungs, thus creating one of the conditions required for a right-to-left shunt. We observed that the foramen of Panizza was obstructed by the medial cusp of the right aortic valve during most of sy</w:instrText>
      </w:r>
      <w:r>
        <w:instrText>stole, effectively differentiating the left and right aortic blood pressure. During diastole, however, the foramen remained open, allowing pressure equilibration between the two aortas. Contrary to current theories, we found that the left aortic valves wer</w:instrText>
      </w:r>
      <w:r>
        <w:instrText>e unable to cover the foramen of Panizza during any part of the cardiac cycle, supporting the reversed foramen flow hypothesis. This would ensure a supply of blood to the coronary and cephalic circulation during a complete shut-down of the left side of the</w:instrText>
      </w:r>
      <w:r>
        <w:instrText xml:space="preserve"> heart, such as might occur during prolonged submergence.", "author" : [ { "dropping-particle" : "", "family" : "Axelsson", "given" : "M", "non-dropping-particle" : "", "parse-names" : false, "suffix" : "" }, { "dropping-particle" : "", "family" : "Frankli</w:instrText>
      </w:r>
      <w:r>
        <w:instrText xml:space="preserve">n", "given" : "C", "non-dropping-particle" : "", "parse-names" : false, "suffix" : "" }, { "dropping-particle" : "", "family" : "L&amp;Ouml;Fman", "given" : "C", "non-dropping-particle" : "", "parse-names" : false, "suffix" : "" }, { "dropping-particle" : "", </w:instrText>
      </w:r>
      <w:r>
        <w:instrText>"family" : "Nilsson", "given" : "S", "non-dropping-particle" : "", "parse-names" : false, "suffix" : "" }, { "dropping-particle" : "", "family" : "Grigg", "given" : "G", "non-dropping-particle" : "", "parse-names" : false, "suffix" : "" } ], "container-tit</w:instrText>
      </w:r>
      <w:r>
        <w:instrText>le" : "The Journal of experimental biology", "id" : "ITEM-6", "issue" : "Pt 2", "issued" : { "date-parts" : [ [ "1996" ] ] }, "page" : "359-65", "title" : "Dynamic anatomical study of cardiac shunting in crocodiles using high-resolution angioscopy", "type"</w:instrText>
      </w:r>
      <w:r>
        <w:instrText xml:space="preserve"> : "article-journal", "volume" : "199" }, "uris" : [ "http://www.mendeley.com/documents/?uuid=4c708030-fd10-389a-8f06-eb17316a5dd9" ] }, { "id" : "ITEM-7", "itemData" : { "DOI" : "10.1016/j.ics.2004.08.050", "ISBN" : "0531-5131", "ISSN" : "05315131", "abst</w:instrText>
      </w:r>
      <w:r>
        <w:instrText xml:space="preserve">ract" : "Vertebrates may control heat transfer with the environment by differentially changing heart rate and blood flow during heating and cooling. In reptiles, the ecological benefit of this physiological thermoregulation is a pronounced increase in the </w:instrText>
      </w:r>
      <w:r>
        <w:instrText xml:space="preserve">time spent at a \"high\" body temperature during the day. During heating and cooling in a lizard, the cardiovascular system is controlled by prostaglandins and to a lesser extent by the autonomic nervous system. There are, however, pronounced phylogenetic </w:instrText>
      </w:r>
      <w:r>
        <w:instrText>differences in cardiovascular control mechanisms of thermoregulating reptiles. Additionally, the characteristic heart rate \"hysteresis\" pattern also occurs in a crustacean, pointing towards parallel evolution of control mechanisms alongside increasing va</w:instrText>
      </w:r>
      <w:r>
        <w:instrText>scularisation. ?? 2004 Elsevier B.V. All rights reserved.", "author" : [ { "dropping-particle" : "", "family" : "Seebacher", "given" : "Frank", "non-dropping-particle" : "", "parse-names" : false, "suffix" : "" }, { "dropping-particle" : "", "family" : "Fr</w:instrText>
      </w:r>
      <w:r>
        <w:instrText>anklin", "given" : "Craig E.", "non-dropping-particle" : "", "parse-names" : false, "suffix" : "" } ], "container-title" : "International Congress Series", "id" : "ITEM-7", "issued" : { "date-parts" : [ [ "2004" ] ] }, "page" : "242-249", "title" : "Cardio</w:instrText>
      </w:r>
      <w:r>
        <w:instrText>vascular mechanisms during thermoregulation in reptiles", "type" : "article-journal", "volume" : "1275" }, "uris" : [ "http://www.mendeley.com/documents/?uuid=fb7ee0b3-0689-35d6-86f3-799677a5c6f9" ] } ], "mendeley" : { "formattedCitation" : "[19\u201325]",</w:instrText>
      </w:r>
      <w:r>
        <w:instrText xml:space="preserve"> "plainTextFormattedCitation" : "[19\u201325]", "previouslyFormattedCitation" : "[18\u201324]" }, "properties" : {  }, "schema" : "https://github.com/citation-style-language/schema/raw/master/csl-citation.json" }</w:instrText>
      </w:r>
      <w:r>
        <w:fldChar w:fldCharType="separate"/>
      </w:r>
      <w:bookmarkStart w:id="24" w:name="__Fieldmark__455_3916728419"/>
      <w:r>
        <w:rPr>
          <w:rFonts w:cs="Times New Roman"/>
        </w:rPr>
        <w:t>[19–25]</w:t>
      </w:r>
      <w:r>
        <w:fldChar w:fldCharType="end"/>
      </w:r>
      <w:bookmarkEnd w:id="24"/>
      <w:r>
        <w:rPr>
          <w:rFonts w:cs="Times New Roman"/>
        </w:rPr>
        <w:t>. All these factors likely have an</w:t>
      </w:r>
      <w:r>
        <w:rPr>
          <w:rFonts w:cs="Times New Roman"/>
        </w:rPr>
        <w:t xml:space="preserve"> impact on BOLD signal strength. At a temperature level of approximately 23-24 degrees Celsius used in our study, all these characteristics were in comparison to mammals/birds reduced in our crocodiles which could be one explanation for the relatively low </w:t>
      </w:r>
      <w:r>
        <w:rPr>
          <w:rFonts w:cs="Times New Roman"/>
        </w:rPr>
        <w:t xml:space="preserve">BOLD signal strength. Furthermore, the four chambered heart as well as the classic cardiac shunts common to reptiles with the consequent admixture of oxygenated and deoxygenated blood </w:t>
      </w:r>
      <w:r>
        <w:fldChar w:fldCharType="begin"/>
      </w:r>
      <w:r>
        <w:instrText>ADDIN CSL_CITATION { "citationItems" : [ { "id" : "ITEM-1", "itemData" :</w:instrText>
      </w:r>
      <w:r>
        <w:instrText xml:space="preserve"> { "ISBN" : "0022-0949", "ISSN" : "1477-9145", "PMID" : "9317958", "abstract" : "Prolonged submergence imposes special demands on the cardiovascular system. Unlike the situation in diving birds and mammals, crocodilians have the ability to shunt blood away</w:instrText>
      </w:r>
      <w:r>
        <w:instrText xml:space="preserve"> from the lungs, despite having an anatomically divided ventricle. This remarkable cardiovascular flexibility is due in part to three anatomical peculiarities: (1) an 'extra' aorta (the left aorta) that leaves the right ventricle and allows the blood from </w:instrText>
      </w:r>
      <w:r>
        <w:instrText xml:space="preserve">the right ventricle to take an alternative route into the systemic circulation instead of going to the lungs; (2) the foramen of Panizza, an aperture that connects the right and left aortas at their base immediately outside the ventricle; and (3) a set of </w:instrText>
      </w:r>
      <w:r>
        <w:instrText>connective tissue outpushings in the pulmonary outflow tract in the right ventricle. Using high-resolution angioscopy, we have studied these structures in the beating crocodile heart and correlated their movements with in vivo pressure and flow recordings.</w:instrText>
      </w:r>
      <w:r>
        <w:instrText xml:space="preserve"> The connective tissue outpushings in the pulmonary outflow tract represent an active mechanism used to restrict blood flow into the lungs, thus creating one of the conditions required for a right-to-left shunt. We observed that the foramen of Panizza was </w:instrText>
      </w:r>
      <w:r>
        <w:instrText>obstructed by the medial cusp of the right aortic valve during most of systole, effectively differentiating the left and right aortic blood pressure. During diastole, however, the foramen remained open, allowing pressure equilibration between the two aorta</w:instrText>
      </w:r>
      <w:r>
        <w:instrText>s. Contrary to current theories, we found that the left aortic valves were unable to cover the foramen of Panizza during any part of the cardiac cycle, supporting the reversed foramen flow hypothesis. This would ensure a supply of blood to the coronary and</w:instrText>
      </w:r>
      <w:r>
        <w:instrText xml:space="preserve"> cephalic circulation during a complete shut-down of the left side of the heart, such as might occur during prolonged submergence.", "author" : [ { "dropping-particle" : "", "family" : "Axelsson", "given" : "M", "non-dropping-particle" : "", "parse-names" </w:instrText>
      </w:r>
      <w:r>
        <w:instrText>: false, "suffix" : "" }, { "dropping-particle" : "", "family" : "Franklin", "given" : "C", "non-dropping-particle" : "", "parse-names" : false, "suffix" : "" }, { "dropping-particle" : "", "family" : "L&amp;Ouml;Fman", "given" : "C", "non-dropping-particle" :</w:instrText>
      </w:r>
      <w:r>
        <w:instrText xml:space="preserve"> "", "parse-names" : false, "suffix" : "" }, { "dropping-particle" : "", "family" : "Nilsson", "given" : "S", "non-dropping-particle" : "", "parse-names" : false, "suffix" : "" }, { "dropping-particle" : "", "family" : "Grigg", "given" : "G", "non-dropping</w:instrText>
      </w:r>
      <w:r>
        <w:instrText>-particle" : "", "parse-names" : false, "suffix" : "" } ], "container-title" : "The Journal of experimental biology", "id" : "ITEM-1", "issue" : "Pt 2", "issued" : { "date-parts" : [ [ "1996" ] ] }, "page" : "359-65", "title" : "Dynamic anatomical study of</w:instrText>
      </w:r>
      <w:r>
        <w:instrText xml:space="preserve"> cardiac shunting in crocodiles using high-resolution angioscopy", "type" : "article-journal", "volume" : "199" }, "uris" : [ "http://www.mendeley.com/documents/?uuid=4c708030-fd10-389a-8f06-eb17316a5dd9" ] }, { "id" : "ITEM-2", "itemData" : { "DOI" : "10.</w:instrText>
      </w:r>
      <w:r>
        <w:instrText>1152/nips.01397.2002", "ISSN" : "1548-9213", "abstract" : "The morphology of the reptilian heart results in the mixing of oxygenated and deoxygenated blood (cardiac shunts). In birds and mammals cardiac shunts are detrimental, but in reptiles this conditio</w:instrText>
      </w:r>
      <w:r>
        <w:instrText>n is often considered a derived trait, conveying important physiological functions and favored by natural selection. Alternative views are advanced suggesting that, in reptiles, cardiac shunts represent either an ancestral condition or an embryonic trait."</w:instrText>
      </w:r>
      <w:r>
        <w:instrText>, "author" : [ { "dropping-particle" : "", "family" : "Hicks", "given" : "James W.", "non-dropping-particle" : "", "parse-names" : false, "suffix" : "" } ], "container-title" : "Physiology", "id" : "ITEM-2", "issue" : "6", "issued" : { "date-parts" : [ [ "</w:instrText>
      </w:r>
      <w:r>
        <w:instrText>2002", "12" ] ] }, "page" : "241-245", "publisher" : "American Physiological Society", "title" : "The Physiological and Evolutionary Significance of Cardiovascular Shunting Patterns in Reptiles", "type" : "article-journal", "volume" : "17" }, "uris" : [ "h</w:instrText>
      </w:r>
      <w:r>
        <w:instrText>ttp://www.mendeley.com/documents/?uuid=8d49f7cd-4fce-32b9-ab39-6c25d7adf8e7" ] } ], "mendeley" : { "formattedCitation" : "[24,26]", "plainTextFormattedCitation" : "[24,26]", "previouslyFormattedCitation" : "[23,25]" }, "properties" : {  }, "schema" : "http</w:instrText>
      </w:r>
      <w:r>
        <w:instrText>s://github.com/citation-style-language/schema/raw/master/csl-citation.json" }</w:instrText>
      </w:r>
      <w:r>
        <w:fldChar w:fldCharType="separate"/>
      </w:r>
      <w:bookmarkStart w:id="25" w:name="__Fieldmark__460_3916728419"/>
      <w:r>
        <w:rPr>
          <w:rFonts w:cs="Times New Roman"/>
        </w:rPr>
        <w:t>[24,26]</w:t>
      </w:r>
      <w:r>
        <w:fldChar w:fldCharType="end"/>
      </w:r>
      <w:bookmarkEnd w:id="25"/>
      <w:r>
        <w:rPr>
          <w:rFonts w:cs="Times New Roman"/>
        </w:rPr>
        <w:t xml:space="preserve">, are likely to have an effect on BOLD strength as well. Also, differences in hemoglobin binding mechanisms </w:t>
      </w:r>
      <w:r>
        <w:fldChar w:fldCharType="begin"/>
      </w:r>
      <w:r>
        <w:instrText>ADDIN CSL_CITATION { "citationItems" : [ { "id" : "ITEM-1", "</w:instrText>
      </w:r>
      <w:r>
        <w:instrText>itemData" : { "abstract" : "Crocodilian hemoglobin has a high intrinsic oxygen affinity but does not react with those organic phosphate esters that normally control the oxygen affinity of blood in higher vertebrates. Instead, its oxygen affinity is greatly</w:instrText>
      </w:r>
      <w:r>
        <w:instrText xml:space="preserve"> lowered by CO,. The present study was un-dertaken to determine the nature of the COZ binding to the hemoglobin of a crocodilian species, the Caiman, both qualitatively and quantitatively. The following parameters were measured: (a) carbamino compounds of </w:instrText>
      </w:r>
      <w:r>
        <w:instrText>deoxy-and oxyhemoglobin, (b) the effect of COZ (at constant pH) on the oxygen affinity of Caiman hemo-globin, (c) total CO, concentration of hemoglobin solu-tions at different pH andpCOz values, and (d) the effect of COz on CD spectra of Caiman aquomethemo</w:instrText>
      </w:r>
      <w:r>
        <w:instrText>globin. An analysis of the results of these measurements revealed that COz binding in the form of carbamate was not oxygen-linked and cannot, therefore, mediate the COZ effect on the oxygen affinity. It was found, how-ever, that 2 mol of bicarbonate can be</w:instrText>
      </w:r>
      <w:r>
        <w:instrText xml:space="preserve"> bound/hemoglo-bin tetramer and that the association constant of the bicarbonate anion greatly depends upon the state of ligation. At pH 7.02 and 25 \" C, a numerical value of 2.0 X lo3 M-' was obtained for deoxyhemoglobin, while for", "author" : [ { "drop</w:instrText>
      </w:r>
      <w:r>
        <w:instrText>ping-particle" : "", "family" : "Bauers", "given" : "Christian", "non-dropping-particle" : "", "parse-names" : false, "suffix" : "" }, { "dropping-particle" : "", "family" : "Forster", "given" : "Michael", "non-dropping-particle" : "", "parse-names" : fals</w:instrText>
      </w:r>
      <w:r>
        <w:instrText>e, "suffix" : "" }, { "dropping-particle" : "", "family" : "Gros", "given" : "Gerolf", "non-dropping-particle" : "", "parse-names" : false, "suffix" : "" }, { "dropping-particle" : "", "family" : "Mosca", "given" : "Andrea", "non-dropping-particle" : "", "</w:instrText>
      </w:r>
      <w:r>
        <w:instrText>parse-names" : false, "suffix" : "" }, { "dropping-particle" : "", "family" : "Perrella", "given" : "Michele", "non-dropping-particle" : "", "parse-names" : false, "suffix" : "" }, { "dropping-particle" : "", "family" : "Rollema", "given" : "Harry S", "non</w:instrText>
      </w:r>
      <w:r>
        <w:instrText>-dropping-particle" : "", "parse-names" : false, "suffix" : "" }, { "dropping-particle" : "", "family" : "Vogel", "given" : "Dieter", "non-dropping-particle" : "", "parse-names" : false, "suffix" : "" } ], "container-title" : "THE JOURNAL OF B~OLOOICAL CHE</w:instrText>
      </w:r>
      <w:r>
        <w:instrText>MISTRY", "id" : "ITEM-1", "issue" : "16", "issued" : { "date-parts" : [ [ "1981" ] ] }, "page" : "8429-8435", "title" : "Analysis of Bicarbonate Binding to Crocodilian Hemoglobin*", "type" : "article-journal", "volume" : "256" }, "uris" : [ "http://www.men</w:instrText>
      </w:r>
      <w:r>
        <w:instrText>deley.com/documents/?uuid=908e2d83-fcb5-3bcf-9610-e7d1009dad44" ] }, { "id" : "ITEM-2", "itemData" : { "abstract" : "--1. Crocodile haemoglobin binds oxygen co-operatively. 2. Bicarbonate slightly increases the co-operativity of oxygen binding whilst signi</w:instrText>
      </w:r>
      <w:r>
        <w:instrText>ficantly lowering oxygen affinity and increasing the enthalpy of oxygenation. 3. The rate of oxygen dissociation from the oxyhaemoglobin complex is increased at low pH and is further enhanced in the presence of bicarbonate. 4. Oxygen binding to the R-state</w:instrText>
      </w:r>
      <w:r>
        <w:instrText xml:space="preserve"> form of oxyhaemoglobin occurs at 8 x 106 M -I s -l. In the presence of bicarbonate a second reaction with rate = 2 \u00d7 104 M -I s -l is also observed. 5. Carbon monoxide binding is co-operative in the presence of bicarbonate (Hill coefficient ffi 2.6) </w:instrText>
      </w:r>
      <w:r>
        <w:instrText>and is well fitted to a two-state model with KR --0.04#M; Kr= 1.6#M and L = 5 \u00d7 104. 6. Carbon monoxide binding to deoxyhaemoglobin follows accelerating time courses. 7. The deoxy T-state protein binds CO with a rate of 5-6 \u00d7 104 M -I s -I irresp</w:instrText>
      </w:r>
      <w:r>
        <w:instrText>ective of the presence or absence of bicarbonate. 8. The R-state protein binds CO with a rate of 8 \u00d7 105M -I s -l in the absence of bicarbonate, but exhibits two combination rates of 8 \u00d7 105 M -I s -m and 9 \u00d7 104 M -l s -~ in the presence of</w:instrText>
      </w:r>
      <w:r>
        <w:instrText xml:space="preserve"> bicarbonate.", "author" : [ { "dropping-particle" : "", "family" : "Brittain", "given" : "T", "non-dropping-particle" : "", "parse-names" : false, "suffix" : "" }, { "dropping-particle" : "", "family" : "Wellst", "given" : "R M", "non-dropping-particle" :</w:instrText>
      </w:r>
      <w:r>
        <w:instrText xml:space="preserve"> "", "parse-names" : false, "suffix" : "" } ], "container-title" : "Biochem. PhysioL", "id" : "ITEM-2", "issue" : "4", "issued" : { "date-parts" : [ [ "1991" ] ] }, "page" : "641-646", "title" : "AN INVESTIGATION OF THE CO-OPERATIVE FUNCTIONING OF THE HAEM</w:instrText>
      </w:r>
      <w:r>
        <w:instrText>OGLOBIN OF THE CROCODILE, CROCOD YLUS POROSUS", "type" : "article-journal", "volume" : "98" }, "uris" : [ "http://www.mendeley.com/documents/?uuid=e6682f92-9391-3684-bbf9-761ca823274b" ] }, { "id" : "ITEM-3", "itemData" : { "abstract" : "-l. Viscosities of</w:instrText>
      </w:r>
      <w:r>
        <w:instrText xml:space="preserve"> whole blood and plasma from Crocodyfus porosus were low in comparison with other diving animals when measured over a range of shear rates at 30\u00b0C (e.g. 2.89 f 0.07 mPa.sec and 1.67 f 0.06 mPa.sec respectively, at a shear rate of 450 set-I). 2. Hemato</w:instrText>
      </w:r>
      <w:r>
        <w:instrText>crit (19.2 f 0.5%) and mean cell hemoglobin concentration (262 f 23 g/l) are high in crocodiles compared with non-diving reptiles. 3. Nucleation of the red blood cell does not seem to have affected viscosity. 4. The potential for oxygen transport was estim</w:instrText>
      </w:r>
      <w:r>
        <w:instrText>ated from pooled blood reconstituted to a range of hematocrits and used to predict an optimal hematocrit of 38%, which greatly exceeded measured values. 5. Low blood viscosity is associated with low flow resistance and may assist circulation during the low</w:instrText>
      </w:r>
      <w:r>
        <w:instrText xml:space="preserve"> blood pressure events occurring during diving.", "author" : [ { "dropping-particle" : "", "family" : "Wells", "given" : "R M G", "non-dropping-particle" : "", "parse-names" : false, "suffix" : "" }, { "dropping-particle" : "", "family" : "Beard", "given" </w:instrText>
      </w:r>
      <w:r>
        <w:instrText>: "L A", "non-dropping-particle" : "", "parse-names" : false, "suffix" : "" }, { "dropping-particle" : "", "family" : "Grigg", "given" : "G C", "non-dropping-particle" : "", "parse-names" : false, "suffix" : "" } ], "container-title" : "Camp. B&amp;hem. Physio</w:instrText>
      </w:r>
      <w:r>
        <w:instrText>l", "id" : "ITEM-3", "issue" : "3", "issued" : { "date-parts" : [ [ "1991" ] ] }, "page" : "41-414", "title" : "BLOOD VISCOSITY AND HEMATOCRIT ESTUARINE CROCODILE, CROWD YLUS", "type" : "article-journal", "volume" : "99" }, "uris" : [ "http://www.mendeley.</w:instrText>
      </w:r>
      <w:r>
        <w:instrText>com/documents/?uuid=e4849a4e-6796-3ed7-a15c-49903e1703c8" ] } ], "mendeley" : { "formattedCitation" : "[27\u201329]", "plainTextFormattedCitation" : "[27\u201329]", "previouslyFormattedCitation" : "[26\u201328]" }, "properties" : {  }, "schema" : "https://</w:instrText>
      </w:r>
      <w:r>
        <w:instrText>github.com/citation-style-language/schema/raw/master/csl-citation.json" }</w:instrText>
      </w:r>
      <w:r>
        <w:fldChar w:fldCharType="separate"/>
      </w:r>
      <w:bookmarkStart w:id="26" w:name="__Fieldmark__465_3916728419"/>
      <w:r>
        <w:rPr>
          <w:rFonts w:cs="Times New Roman"/>
        </w:rPr>
        <w:t>[27–29]</w:t>
      </w:r>
      <w:r>
        <w:fldChar w:fldCharType="end"/>
      </w:r>
      <w:bookmarkEnd w:id="26"/>
      <w:r>
        <w:rPr>
          <w:rFonts w:cs="Times New Roman"/>
        </w:rPr>
        <w:t xml:space="preserve"> blood viscosity </w:t>
      </w:r>
      <w:r>
        <w:fldChar w:fldCharType="begin"/>
      </w:r>
      <w:r>
        <w:instrText xml:space="preserve">ADDIN CSL_CITATION { "citationItems" : [ { "id" : "ITEM-1", "itemData" : { "abstract" : "-l. Viscosities of whole blood and plasma from Crocodyfus porosus </w:instrText>
      </w:r>
      <w:r>
        <w:instrText>were low in comparison with other diving animals when measured over a range of shear rates at 30\u00b0C (e.g. 2.89 f 0.07 mPa.sec and 1.67 f 0.06 mPa.sec respectively, at a shear rate of 450 set-I). 2. Hematocrit (19.2 f 0.5%) and mean cell hemoglobin conc</w:instrText>
      </w:r>
      <w:r>
        <w:instrText xml:space="preserve">entration (262 f 23 g/l) are high in crocodiles compared with non-diving reptiles. 3. Nucleation of the red blood cell does not seem to have affected viscosity. 4. The potential for oxygen transport was estimated from pooled blood reconstituted to a range </w:instrText>
      </w:r>
      <w:r>
        <w:instrText>of hematocrits and used to predict an optimal hematocrit of 38%, which greatly exceeded measured values. 5. Low blood viscosity is associated with low flow resistance and may assist circulation during the low blood pressure events occurring during diving."</w:instrText>
      </w:r>
      <w:r>
        <w:instrText>, "author" : [ { "dropping-particle" : "", "family" : "Wells", "given" : "R M G", "non-dropping-particle" : "", "parse-names" : false, "suffix" : "" }, { "dropping-particle" : "", "family" : "Beard", "given" : "L A", "non-dropping-particle" : "", "parse-na</w:instrText>
      </w:r>
      <w:r>
        <w:instrText>mes" : false, "suffix" : "" }, { "dropping-particle" : "", "family" : "Grigg", "given" : "G C", "non-dropping-particle" : "", "parse-names" : false, "suffix" : "" } ], "container-title" : "Camp. B&amp;hem. Physiol", "id" : "ITEM-1", "issue" : "3", "issued" : {</w:instrText>
      </w:r>
      <w:r>
        <w:instrText xml:space="preserve"> "date-parts" : [ [ "1991" ] ] }, "page" : "41-414", "title" : "BLOOD VISCOSITY AND HEMATOCRIT ESTUARINE CROCODILE, CROWD YLUS", "type" : "article-journal", "volume" : "99" }, "uris" : [ "http://www.mendeley.com/documents/?uuid=e4849a4e-6796-3ed7-a15c-4990</w:instrText>
      </w:r>
      <w:r>
        <w:instrText xml:space="preserve">3e1703c8" ] } ], "mendeley" : { "formattedCitation" : "[29]", "plainTextFormattedCitation" : "[29]", "previouslyFormattedCitation" : "[28]" }, "properties" : {  }, "schema" : "https://github.com/citation-style-language/schema/raw/master/csl-citation.json" </w:instrText>
      </w:r>
      <w:r>
        <w:instrText>}</w:instrText>
      </w:r>
      <w:r>
        <w:fldChar w:fldCharType="separate"/>
      </w:r>
      <w:bookmarkStart w:id="27" w:name="__Fieldmark__471_3916728419"/>
      <w:r>
        <w:rPr>
          <w:rFonts w:cs="Times New Roman"/>
        </w:rPr>
        <w:t>[29]</w:t>
      </w:r>
      <w:r>
        <w:fldChar w:fldCharType="end"/>
      </w:r>
      <w:bookmarkEnd w:id="27"/>
      <w:r>
        <w:rPr>
          <w:rFonts w:cs="Times New Roman"/>
        </w:rPr>
        <w:t xml:space="preserve"> and oxidative energy requirements of tissue, all altering blood oxygen transport, between endotherms and ectotherms surely have an effect on BOLD signal strength. However, data on these factors in relation to BOLD signal composition are not availa</w:t>
      </w:r>
      <w:r>
        <w:rPr>
          <w:rFonts w:cs="Times New Roman"/>
        </w:rPr>
        <w:t>ble yet and trying to assign an effect size to each of the characteristics would be purely speculative at the current time point. Future fMRI studies in reptiles might consider using a higher spatial resolution or BOLD sensitive sequences based on Spin Ech</w:t>
      </w:r>
      <w:r>
        <w:rPr>
          <w:rFonts w:cs="Times New Roman"/>
        </w:rPr>
        <w:t>oes, which will result in more specific BOLD brain activation and for small regions in a higher BOLD signal strength.</w:t>
      </w:r>
    </w:p>
    <w:p w:rsidR="00556DE7" w:rsidRDefault="00BA5CBD">
      <w:pPr>
        <w:spacing w:after="0" w:line="360" w:lineRule="auto"/>
        <w:jc w:val="both"/>
        <w:rPr>
          <w:rFonts w:cs="Times New Roman"/>
        </w:rPr>
      </w:pPr>
      <w:r>
        <w:rPr>
          <w:rFonts w:cs="Times New Roman"/>
        </w:rPr>
        <w:t>Taken together, the latency of initial BOLD responses in the auditory and visual systems is much shorter in mammals compared to reptiles a</w:t>
      </w:r>
      <w:r>
        <w:rPr>
          <w:rFonts w:cs="Times New Roman"/>
        </w:rPr>
        <w:t>nd birds.</w:t>
      </w:r>
      <w:r>
        <w:rPr>
          <w:rFonts w:cs="Times New Roman"/>
        </w:rPr>
        <w:t xml:space="preserve"> Differences in the temporal aspects of BOLD responses between mammals, birds, and reptiles might be related to a variety of physiological differences including vascular reactivity, neurovascular coupling, body temperature, brain size, neuronal processing,</w:t>
      </w:r>
      <w:r>
        <w:rPr>
          <w:rFonts w:cs="Times New Roman"/>
        </w:rPr>
        <w:t xml:space="preserve"> and also fMRI techniques employed. Thus, further cross class fMRI studies are required to understand these differences in detail.</w:t>
      </w:r>
    </w:p>
    <w:p w:rsidR="00556DE7" w:rsidRDefault="00556DE7">
      <w:pPr>
        <w:jc w:val="both"/>
        <w:rPr>
          <w:rFonts w:cs="Times New Roman"/>
          <w:b/>
          <w:bCs/>
        </w:rPr>
      </w:pPr>
    </w:p>
    <w:p w:rsidR="00556DE7" w:rsidRDefault="00BA5CBD">
      <w:pPr>
        <w:spacing w:after="0" w:line="360" w:lineRule="auto"/>
        <w:jc w:val="both"/>
      </w:pPr>
      <w:r>
        <w:rPr>
          <w:rFonts w:cs="Times New Roman"/>
        </w:rPr>
        <w:t xml:space="preserve">In our study, we could not pick up any significant change in BOLD signal from the thalamofugal system in response to visual </w:t>
      </w:r>
      <w:r>
        <w:rPr>
          <w:rFonts w:cs="Times New Roman"/>
        </w:rPr>
        <w:t xml:space="preserve">stimulation. This could have several reasons. In pigeons, the thalamofugal visual system is specialized for lateral visual field view while the tectofugal system mainly processes stimuli in the frontal visual field </w:t>
      </w:r>
      <w:r>
        <w:fldChar w:fldCharType="begin"/>
      </w:r>
      <w:r>
        <w:instrText xml:space="preserve">ADDIN CSL_CITATION { "citationItems" : [ </w:instrText>
      </w:r>
      <w:r>
        <w:instrText>{ "id" : "ITEM-1", "itemData" : { "DOI" : "10.1046/j.1460-9568.1999.00681.x", "ISBN" : "0953-816X (Print)\\r0953-816X (Linking)", "ISSN" : "0953816X", "PMID" : "10457162", "abstract" : "The organization of the tecto-rotundal projection of the pigeon was in</w:instrText>
      </w:r>
      <w:r>
        <w:instrText>vestigated by means of anterograde and retrograde tracing techniques. Besides the known organization in tecto-rotundal connectivity, this study additionally demonstrates major variations in the ascending projections of different tectal subfields. We show t</w:instrText>
      </w:r>
      <w:r>
        <w:instrText>hat the ventral tectum opticum (TO) has significantly more projections onto the nucleus rotundus (Rt) than dorsal tectal areas. This difference coincides with differential innervation densities of afferent fibres within rotundal subregions. While ventral t</w:instrText>
      </w:r>
      <w:r>
        <w:instrText>ectal efferents project onto the ventral and central Rt, dorsal tectal efferents mainly arborize within limited areas between the central Rt and its dorsal cap, the nucleus triangularis. Thus, the ventral TO, representing the lower and frontal field of vie</w:instrText>
      </w:r>
      <w:r>
        <w:instrText>w, exhibits a quantitatively and spatially enhanced projection onto the Rt, as compared with the dorsal TO. The data presented here demonstrate a visual field-dependent projection pattern of ascending tectal outputs onto different rotundal domains. The dat</w:instrText>
      </w:r>
      <w:r>
        <w:instrText>a are consistent with behavioural studies, demonstrating tectofugal lesions to suppress visual stimulus analysis mainly within the frontal field of view.", "author" : [ { "dropping-particle" : "", "family" : "Hellmann", "given" : "Burkhard", "non-dropping-</w:instrText>
      </w:r>
      <w:r>
        <w:instrText>particle" : "", "parse-names" : false, "suffix" : "" }, { "dropping-particle" : "", "family" : "G\u00fcnt\u00fcrk\u00fcn", "given" : "Onur", "non-dropping-particle" : "", "parse-names" : false, "suffix" : "" } ], "container-title" : "European Journal of Ne</w:instrText>
      </w:r>
      <w:r>
        <w:instrText>uroscience", "id" : "ITEM-1", "issue" : "8", "issued" : { "date-parts" : [ [ "1999", "8" ] ] }, "page" : "2635-2650", "title" : "Visual-field-specific heterogeneity within the tecto-rotundal projection of the pigeon", "type" : "article-journal", "volume" :</w:instrText>
      </w:r>
      <w:r>
        <w:instrText xml:space="preserve"> "11" }, "uris" : [ "http://www.mendeley.com/documents/?uuid=f87428ec-f725-34ad-a5f9-d45b9de4f9b9" ] } ], "mendeley" : { "formattedCitation" : "[30]", "plainTextFormattedCitation" : "[30]", "previouslyFormattedCitation" : "[40]" }, "properties" : {  }, "sc</w:instrText>
      </w:r>
      <w:r>
        <w:instrText>hema" : "https://github.com/citation-style-language/schema/raw/master/csl-citation.json" }</w:instrText>
      </w:r>
      <w:r>
        <w:fldChar w:fldCharType="separate"/>
      </w:r>
      <w:bookmarkStart w:id="28" w:name="__Fieldmark__491_3916728419"/>
      <w:r>
        <w:rPr>
          <w:rFonts w:cs="Times New Roman"/>
        </w:rPr>
        <w:t>[30]</w:t>
      </w:r>
      <w:r>
        <w:fldChar w:fldCharType="end"/>
      </w:r>
      <w:bookmarkEnd w:id="28"/>
      <w:r>
        <w:rPr>
          <w:rFonts w:cs="Times New Roman"/>
        </w:rPr>
        <w:t xml:space="preserve">. Since the light stimulus in the current study was positioned in the frontal visual field of the crocodile (Figure 1A), it is possible that we simply did not </w:t>
      </w:r>
      <w:r>
        <w:rPr>
          <w:rFonts w:cs="Times New Roman"/>
        </w:rPr>
        <w:t xml:space="preserve">stimulate pathways that represent the lateral field of view sufficiently. </w:t>
      </w:r>
      <w:r>
        <w:rPr>
          <w:rFonts w:eastAsia="Times New Roman" w:cstheme="majorBidi"/>
          <w:iCs/>
        </w:rPr>
        <w:t>Alternatively, the thalamofugal system could have been activated but due to the typical sparsity of spiking in the cortex, as demonstrated in turtles, visual responses might be rapid</w:t>
      </w:r>
      <w:r>
        <w:rPr>
          <w:rFonts w:eastAsia="Times New Roman" w:cstheme="majorBidi"/>
          <w:iCs/>
        </w:rPr>
        <w:t xml:space="preserve">ly adapting in this region (see e.g. </w:t>
      </w:r>
      <w:r>
        <w:fldChar w:fldCharType="begin"/>
      </w:r>
      <w:r>
        <w:instrText>ADDIN CSL_CITATION { "citationItems" : [ { "id" : "ITEM-1", "itemData" : { "DOI" : "10.1016/B978-0-12-804042-3.00022-1", "ISBN" : "9780128040966", "abstract" : "Among the extant vertebrates, nonavian reptiles are probab</w:instrText>
      </w:r>
      <w:r>
        <w:instrText>ly those that are most closely related to the first animals to evolve a clearly layered cerebral cortex. Thus, a good understanding of the structure and connections of reptilian cortex is critical to understanding cortical evolution. We review the cellular</w:instrText>
      </w:r>
      <w:r>
        <w:instrText xml:space="preserve"> and functional architecture of reptilian brains and aim to identify knowledge gaps and promising avenues for research using novel techniques and diverse species. We argue that analyzing the simpler cortical circuits of reptiles is, besides being useful to</w:instrText>
      </w:r>
      <w:r>
        <w:instrText xml:space="preserve"> understanding cortical evolution, of central importance to understanding cortical function in general.", "author" : [ { "dropping-particle" : "", "family" : "Naumann", "given" : "R.K.", "non-dropping-particle" : "", "parse-names" : false, "suffix" : "" },</w:instrText>
      </w:r>
      <w:r>
        <w:instrText xml:space="preserve"> { "dropping-particle" : "", "family" : "Laurent", "given" : "G.", "non-dropping-particle" : "", "parse-names" : false, "suffix" : "" } ], "container-title" : "Evolution of Nervous Systems", "id" : "ITEM-1", "issued" : { "date-parts" : [ [ "2017" ] ] }, "p</w:instrText>
      </w:r>
      <w:r>
        <w:instrText>age" : "491-518", "publisher" : "Elsevier", "title" : "1.25 \u2013 Function and Evolution of the Reptilian Cerebral Cortex", "type" : "chapter" }, "uris" : [ "http://www.mendeley.com/documents/?uuid=65d09215-4bfd-3bac-a603-c9eb4d113717" ] }, { "id" : "ITEM</w:instrText>
      </w:r>
      <w:r>
        <w:instrText>-2", "itemData" : { "DOI" : "10.1016/j.neuron.2017.11.017", "ISSN" : "10974199", "PMID" : "29249282", "abstract" : "Turtle dorsal cortex (dCx), a three-layered cortical area of the reptilian telencephalon, receives inputs from the retina via the thalamic l</w:instrText>
      </w:r>
      <w:r>
        <w:instrText>ateral geniculate nucleus and constitutes the first cortical stage of visual processing. The receptive fields of dCx neurons usually occupy the entire contralateral visual field. Electrophysiological recordings in awake and anesthetized animals reveal that</w:instrText>
      </w:r>
      <w:r>
        <w:instrText xml:space="preserve"> dCx is sensitive to the spatial structure of natural images, that dCx receptive fields are not entirely uniform across space, and that adaptation to repeated stimulation is position specific. Hence, spatial information can be found both at the single-neur</w:instrText>
      </w:r>
      <w:r>
        <w:instrText>on and population scales. Anatomical data are consistent with the absence of a clear retinotopic mapping of thalamocortical projections. The mapping and representation of visual space in this three-layered cortex thus differ from those found in mammalian p</w:instrText>
      </w:r>
      <w:r>
        <w:instrText xml:space="preserve">rimary visual cortex. Our results support the notion that dCx performs a global, rather than local, analysis of the visual scene. Fournier, Mueller et al. show that visual cortex in turtles may encode positions in the visual field despite the poor spatial </w:instrText>
      </w:r>
      <w:r>
        <w:instrText>selectivity of its receptive fields and the absence of fine retinotopic mapping of thalamocortical projections.", "author" : [ { "dropping-particle" : "", "family" : "Fournier", "given" : "Julien", "non-dropping-particle" : "", "parse-names" : false, "suff</w:instrText>
      </w:r>
      <w:r>
        <w:instrText>ix" : "" }, { "dropping-particle" : "", "family" : "M\u00fcller", "given" : "Christian M.", "non-dropping-particle" : "", "parse-names" : false, "suffix" : "" }, { "dropping-particle" : "", "family" : "Schneider", "given" : "Ingmar", "non-dropping-particle</w:instrText>
      </w:r>
      <w:r>
        <w:instrText>" : "", "parse-names" : false, "suffix" : "" }, { "dropping-particle" : "", "family" : "Laurent", "given" : "Gilles", "non-dropping-particle" : "", "parse-names" : false, "suffix" : "" } ], "container-title" : "Neuron", "id" : "ITEM-2", "issue" : "1", "iss</w:instrText>
      </w:r>
      <w:r>
        <w:instrText>ued" : { "date-parts" : [ [ "2018", "1", "3" ] ] }, "page" : "164-180.e7", "title" : "Spatial Information in a Non-retinotopic Visual Cortex", "type" : "article-journal", "volume" : "97" }, "uris" : [ "http://www.mendeley.com/documents/?uuid=290ab7ad-a796-</w:instrText>
      </w:r>
      <w:r>
        <w:instrText>363b-9105-6a6368b74be8" ] } ], "mendeley" : { "formattedCitation" : "[31,32]", "plainTextFormattedCitation" : "[31,32]", "previouslyFormattedCitation" : "[41,42]" }, "properties" : {  }, "schema" : "https://github.com/citation-style-language/schema/raw/mas</w:instrText>
      </w:r>
      <w:r>
        <w:instrText>ter/csl-citation.json" }</w:instrText>
      </w:r>
      <w:r>
        <w:fldChar w:fldCharType="separate"/>
      </w:r>
      <w:bookmarkStart w:id="29" w:name="__Fieldmark__497_3916728419"/>
      <w:r>
        <w:rPr>
          <w:rFonts w:eastAsia="Times New Roman" w:cstheme="majorBidi"/>
          <w:iCs/>
        </w:rPr>
        <w:t>[31,32]</w:t>
      </w:r>
      <w:r>
        <w:fldChar w:fldCharType="end"/>
      </w:r>
      <w:bookmarkEnd w:id="29"/>
      <w:r>
        <w:rPr>
          <w:rFonts w:eastAsia="Times New Roman" w:cstheme="majorBidi"/>
          <w:iCs/>
        </w:rPr>
        <w:t xml:space="preserve">). Since the temporal resolution of fMRI is limited (in our case 2 sec) it might have not been sufficient to record any short lasting activity in the cortex. In this case, the expected activation of the lateral geniculate </w:t>
      </w:r>
      <w:r>
        <w:rPr>
          <w:rFonts w:eastAsia="Times New Roman" w:cstheme="majorBidi"/>
          <w:iCs/>
        </w:rPr>
        <w:t xml:space="preserve">nuclei might have been </w:t>
      </w:r>
      <w:r>
        <w:rPr>
          <w:rFonts w:eastAsia="Times New Roman" w:cstheme="majorBidi"/>
          <w:iCs/>
        </w:rPr>
        <w:lastRenderedPageBreak/>
        <w:t>overshadowed by the high activity of nucleus rotundus which lies in very close proximity to the lateral geniculate and might not be separable from it due to the relatively low spatial resolution of fMRI.</w:t>
      </w:r>
    </w:p>
    <w:p w:rsidR="00556DE7" w:rsidRDefault="00556DE7">
      <w:pPr>
        <w:spacing w:after="0" w:line="360" w:lineRule="auto"/>
        <w:jc w:val="both"/>
        <w:rPr>
          <w:rFonts w:cs="Times New Roman"/>
          <w:b/>
          <w:bCs/>
        </w:rPr>
      </w:pPr>
    </w:p>
    <w:p w:rsidR="00556DE7" w:rsidRDefault="00BA5CBD">
      <w:pPr>
        <w:jc w:val="both"/>
        <w:rPr>
          <w:rFonts w:cs="Times New Roman"/>
          <w:b/>
          <w:bCs/>
        </w:rPr>
      </w:pPr>
      <w:r>
        <w:rPr>
          <w:rFonts w:cs="Times New Roman"/>
          <w:b/>
          <w:bCs/>
        </w:rPr>
        <w:t>Removal of further breathing</w:t>
      </w:r>
      <w:r>
        <w:rPr>
          <w:rFonts w:cs="Times New Roman"/>
          <w:b/>
          <w:bCs/>
        </w:rPr>
        <w:t xml:space="preserve"> artifacts</w:t>
      </w:r>
    </w:p>
    <w:p w:rsidR="00556DE7" w:rsidRDefault="00BA5CBD">
      <w:pPr>
        <w:spacing w:after="0" w:line="360" w:lineRule="auto"/>
        <w:jc w:val="both"/>
      </w:pPr>
      <w:r>
        <w:t>Despite solving the motion artifact caused by respiration, whole brain signal modulation was observed as a result of the deep breathing bouts common to crocodiles (period of occurrence at ~20 min intervals, Figure S04). By detecting retrospectiv</w:t>
      </w:r>
      <w:r>
        <w:t>ely the onsets and ends of those respiratory modulations in the whole brain BOLD signal, we could identify the time points compromised by deep respiration bouts. Because the amplitude of these signal distortions was unpredictable and larger than the BOLD s</w:t>
      </w:r>
      <w:r>
        <w:t>ignals investigated, we removed from the data analysis all the time points affected by these respiratory events. By precaution, we removed in addition all time points 8 seconds before the start and 8 seconds after the end of the deep breathing bouts signal</w:t>
      </w:r>
      <w:r>
        <w:t xml:space="preserve"> modulations.</w:t>
      </w:r>
    </w:p>
    <w:p w:rsidR="00556DE7" w:rsidRDefault="00BA5CBD">
      <w:pPr>
        <w:spacing w:after="0" w:line="360" w:lineRule="auto"/>
        <w:jc w:val="both"/>
        <w:rPr>
          <w:rFonts w:cs="Times New Roman"/>
          <w:b/>
          <w:bCs/>
        </w:rPr>
      </w:pPr>
      <w:r>
        <w:t xml:space="preserve"> </w:t>
      </w:r>
    </w:p>
    <w:p w:rsidR="00556DE7" w:rsidRDefault="00BA5CBD">
      <w:pPr>
        <w:jc w:val="both"/>
        <w:rPr>
          <w:rFonts w:cs="Times New Roman"/>
          <w:b/>
          <w:bCs/>
        </w:rPr>
      </w:pPr>
      <w:r>
        <w:rPr>
          <w:rFonts w:cs="Times New Roman"/>
          <w:b/>
          <w:bCs/>
        </w:rPr>
        <w:t>Effect of Echo time on BOLD signal</w:t>
      </w:r>
    </w:p>
    <w:p w:rsidR="00556DE7" w:rsidRDefault="00BA5CBD">
      <w:pPr>
        <w:spacing w:after="0" w:line="360" w:lineRule="auto"/>
        <w:jc w:val="both"/>
      </w:pPr>
      <w:r>
        <w:t xml:space="preserve">The BOLD </w:t>
      </w:r>
      <w:r>
        <w:rPr>
          <w:rFonts w:cs="Times New Roman"/>
        </w:rPr>
        <w:t>contrast</w:t>
      </w:r>
      <w:r>
        <w:t xml:space="preserve"> depends on the echo time (TE) and it is </w:t>
      </w:r>
      <w:r>
        <w:rPr>
          <w:rFonts w:cs="Times New Roman"/>
        </w:rPr>
        <w:t>generally</w:t>
      </w:r>
      <w:r>
        <w:t xml:space="preserve"> accepted that a </w:t>
      </w:r>
      <w:bookmarkStart w:id="30" w:name="OLE_LINK14"/>
      <w:bookmarkStart w:id="31" w:name="OLE_LINK13"/>
      <w:bookmarkStart w:id="32" w:name="OLE_LINK12"/>
      <w:r>
        <w:t>TE close to the T</w:t>
      </w:r>
      <w:r>
        <w:rPr>
          <w:vertAlign w:val="subscript"/>
        </w:rPr>
        <w:t>2</w:t>
      </w:r>
      <w:r>
        <w:rPr>
          <w:vertAlign w:val="superscript"/>
        </w:rPr>
        <w:t>*</w:t>
      </w:r>
      <w:r>
        <w:t xml:space="preserve"> relaxation time is the desired value for</w:t>
      </w:r>
      <w:bookmarkEnd w:id="30"/>
      <w:bookmarkEnd w:id="31"/>
      <w:bookmarkEnd w:id="32"/>
      <w:r>
        <w:t xml:space="preserve"> most neuroimaging studies </w:t>
      </w:r>
      <w:r>
        <w:fldChar w:fldCharType="begin"/>
      </w:r>
      <w:r>
        <w:instrText>ADDIN CSL_CITATION { "citationItem</w:instrText>
      </w:r>
      <w:r>
        <w:instrText>s" : [ { "id" : "ITEM-1", "itemData" : { "DOI" : "10.1016/j.neuroimage.2005.01.007", "ISBN" : "1053-8119", "ISSN" : "10538119", "PMID" : "15862224", "abstract" : "Previous studies have shown that under some conditions, noise fluctuations in an fMRI time-co</w:instrText>
      </w:r>
      <w:r>
        <w:instrText>urse are dominated by physiological modulations of the image intensity with secondary contributions from thermal image noise and that these two sources scale differently with signal intensity, susceptibility weighting (TE) and field strength. The SNR of th</w:instrText>
      </w:r>
      <w:r>
        <w:instrText>e fMRI time-course was found to be near its asymptotic limit for moderate spatial resolution measurements at 3 T with only marginal gains expected from acquisition at higher field strengths. In this study, we investigate the amplitude of image intensity fl</w:instrText>
      </w:r>
      <w:r>
        <w:instrText>uctuations in the fMRI time-course at magnetic field strengths of 1.5 T, 3 T, and 7 T as a function of image resolution, flip angle and TE. The time-course SNR was a similar function of the image SNR regardless of whether the image SNR was modulated by fli</w:instrText>
      </w:r>
      <w:r>
        <w:instrText>p angle, image resolution, or field strength. For spatial resolutions typical of those currently used in fMRI (e.g., 3 ?? 3 ?? 3 mm3), increases in image SNR obtained from 7 T acquisition produced only modest increases in time-course SNR. At this spatial r</w:instrText>
      </w:r>
      <w:r>
        <w:instrText>esolution, the ratio of physiological noise to thermal image noise was 0.61, 0.89, and 2.23 for 1.5 T, 3 T, and 7 T. At a resolution of 1 ?? 1 ?? 3 mm3, however, the physiological to thermal noise ratio was 0.34, 0.57, and 0.91 for 1.5 T, 3 T and 7 T for T</w:instrText>
      </w:r>
      <w:r>
        <w:instrText>E near T2*. Thus, by reducing the signal strength using higher image resolution, the ratio of physiologic to image noise could be reduced to a regime where increased sensitivity afforded by higher field strength still translated to improved SNR in the fMRI</w:instrText>
      </w:r>
      <w:r>
        <w:instrText xml:space="preserve"> time-series. ?? 2005 Elsevier Inc. All rights reserved.", "author" : [ { "dropping-particle" : "", "family" : "Triantafyllou", "given" : "C.", "non-dropping-particle" : "", "parse-names" : false, "suffix" : "" }, { "dropping-particle" : "", "family" : "Ho</w:instrText>
      </w:r>
      <w:r>
        <w:instrText>ge", "given" : "R. D.", "non-dropping-particle" : "", "parse-names" : false, "suffix" : "" }, { "dropping-particle" : "", "family" : "Krueger", "given" : "G.", "non-dropping-particle" : "", "parse-names" : false, "suffix" : "" }, { "dropping-particle" : ""</w:instrText>
      </w:r>
      <w:r>
        <w:instrText>, "family" : "Wiggins", "given" : "C. J.", "non-dropping-particle" : "", "parse-names" : false, "suffix" : "" }, { "dropping-particle" : "", "family" : "Potthast", "given" : "A.", "non-dropping-particle" : "", "parse-names" : false, "suffix" : "" }, { "dro</w:instrText>
      </w:r>
      <w:r>
        <w:instrText>pping-particle" : "", "family" : "Wiggins", "given" : "G. C.", "non-dropping-particle" : "", "parse-names" : false, "suffix" : "" }, { "dropping-particle" : "", "family" : "Wald", "given" : "L. L.", "non-dropping-particle" : "", "parse-names" : false, "suf</w:instrText>
      </w:r>
      <w:r>
        <w:instrText>fix" : "" } ], "container-title" : "NeuroImage", "id" : "ITEM-1", "issue" : "1", "issued" : { "date-parts" : [ [ "2005", "5", "15" ] ] }, "page" : "243-250", "title" : "Comparison of physiological noise at 1.5 T, 3 T and 7 T and optimization of fMRI acquis</w:instrText>
      </w:r>
      <w:r>
        <w:instrText>ition parameters", "type" : "article-journal", "volume" : "26" }, "uris" : [ "http://www.mendeley.com/documents/?uuid=94d8667c-f007-3c48-bbf6-2c8279415cb0" ] } ], "mendeley" : { "formattedCitation" : "[33]", "plainTextFormattedCitation" : "[33]", "previous</w:instrText>
      </w:r>
      <w:r>
        <w:instrText>lyFormattedCitation" : "[29]" }, "properties" : {  }, "schema" : "https://github.com/citation-style-language/schema/raw/master/csl-citation.json" }</w:instrText>
      </w:r>
      <w:r>
        <w:fldChar w:fldCharType="separate"/>
      </w:r>
      <w:bookmarkStart w:id="33" w:name="__Fieldmark__530_3916728419"/>
      <w:r>
        <w:t>[33]</w:t>
      </w:r>
      <w:r>
        <w:fldChar w:fldCharType="end"/>
      </w:r>
      <w:bookmarkEnd w:id="33"/>
      <w:r>
        <w:t xml:space="preserve">. To test the validity of the BOLD signal, we also checked the effect of echo time on the evoked BOLD </w:t>
      </w:r>
      <w:r>
        <w:t xml:space="preserve">response in crocodilians. We scanned the animal brain with a short TE=18.6ms and long TE=30ms (which was close to </w:t>
      </w:r>
      <w:bookmarkStart w:id="34" w:name="OLE_LINK2"/>
      <w:bookmarkStart w:id="35" w:name="OLE_LINK1"/>
      <w:r>
        <w:t xml:space="preserve">our </w:t>
      </w:r>
      <w:r>
        <w:t>e</w:t>
      </w:r>
      <w:r>
        <w:t>stimation of T</w:t>
      </w:r>
      <w:r>
        <w:rPr>
          <w:vertAlign w:val="subscript"/>
        </w:rPr>
        <w:t>2</w:t>
      </w:r>
      <w:r>
        <w:rPr>
          <w:vertAlign w:val="superscript"/>
        </w:rPr>
        <w:t>*</w:t>
      </w:r>
      <w:bookmarkEnd w:id="34"/>
      <w:bookmarkEnd w:id="35"/>
      <w:r>
        <w:t xml:space="preserve"> relaxation time of the crocodile brain, T</w:t>
      </w:r>
      <w:r>
        <w:rPr>
          <w:vertAlign w:val="subscript"/>
        </w:rPr>
        <w:t>2</w:t>
      </w:r>
      <w:r>
        <w:rPr>
          <w:vertAlign w:val="superscript"/>
        </w:rPr>
        <w:t>*</w:t>
      </w:r>
      <w:r>
        <w:t xml:space="preserve"> is between 30-45ms) when classical music was presented to the animals. The r</w:t>
      </w:r>
      <w:r>
        <w:t xml:space="preserve">esults showed that a short echo time increased signal to noise ratio, and reduced the susceptibility artifact but also </w:t>
      </w:r>
      <w:bookmarkStart w:id="36" w:name="OLE_LINK17"/>
      <w:bookmarkStart w:id="37" w:name="OLE_LINK16"/>
      <w:bookmarkStart w:id="38" w:name="OLE_LINK15"/>
      <w:r>
        <w:t xml:space="preserve">reduced the amplitude of the BOLD signal </w:t>
      </w:r>
      <w:bookmarkEnd w:id="36"/>
      <w:bookmarkEnd w:id="37"/>
      <w:bookmarkEnd w:id="38"/>
      <w:r>
        <w:t xml:space="preserve">(Figure S05) which is in line with the mammalian study conducted by Gorno-Tempini et al. </w:t>
      </w:r>
      <w:r>
        <w:fldChar w:fldCharType="begin"/>
      </w:r>
      <w:r>
        <w:instrText>ADDIN C</w:instrText>
      </w:r>
      <w:r>
        <w:instrText>SL_CITATION { "citationItems" : [ { "id" : "ITEM-1", "itemData" : { "DOI" : "10.1006/nimg.2001.0967", "ISBN" : "1053-8119 (Print)\\r1053-8119 (Linking)", "ISSN" : "1053-8119", "PMID" : "11771981", "abstract" : "Echo-planar imaging with gradient echo allows</w:instrText>
      </w:r>
      <w:r>
        <w:instrText xml:space="preserve"> whole-brain images to be rapidly acquired. However, its main limitation is that magnetic field inhomogeneities in regions of the brain close to bone and air-filled sinuses result in reduced signal-to-noise ratio and signal loss. In particular this is a pr</w:instrText>
      </w:r>
      <w:r>
        <w:instrText>oblem for imaging the temporal lobes, and can therefore affect the results of some language-related studies. Decreasing the echo time (TE) increases the signal-to-noise ratio and reduces the amount of signal loss in susceptible regions. In this study we in</w:instrText>
      </w:r>
      <w:r>
        <w:instrText>vestigate the TE dependence of BOLD (blood oxygenation level-dependent) contrast and, in particular, how it is influenced in regions with susceptibility artifacts. We use a dual echo-time sequence to compare brain activations measured with two different TE</w:instrText>
      </w:r>
      <w:r>
        <w:instrText>s, TE = 40 ms and TE = 27 ms. The paradigm involves comparing famous faces to scrambled faces, a low-level control condition. It was chosen because famous faces have been repeatedly shown to activate the fusiform gyri and anterior temporal lobes in both PE</w:instrText>
      </w:r>
      <w:r>
        <w:instrText xml:space="preserve">T and fMRI. Our results show that it is possible to detect robust activations at a lower TE in brain regions not affected by susceptibility artifacts (i.e., fusiform gyri), allowing for faster scanning times. However, although the amount of signal loss is </w:instrText>
      </w:r>
      <w:r>
        <w:instrText>reduced at the lower TE, this does not appear to be sufficient to recover the BOLD signal in regions affected by susceptibility artifacts (i.e., anterior temporal lobes).", "author" : [ { "dropping-particle" : "", "family" : "Gorno-Tempini", "given" : "Mar</w:instrText>
      </w:r>
      <w:r>
        <w:instrText xml:space="preserve">ia Luisa", "non-dropping-particle" : "", "parse-names" : false, "suffix" : "" }, { "dropping-particle" : "", "family" : "Hutton", "given" : "Chloe", "non-dropping-particle" : "", "parse-names" : false, "suffix" : "" }, { "dropping-particle" : "", "family" </w:instrText>
      </w:r>
      <w:r>
        <w:instrText>: "Josephs", "given" : "Oliver", "non-dropping-particle" : "", "parse-names" : false, "suffix" : "" }, { "dropping-particle" : "", "family" : "Deichmann", "given" : "Ralf", "non-dropping-particle" : "", "parse-names" : false, "suffix" : "" }, { "dropping-p</w:instrText>
      </w:r>
      <w:r>
        <w:instrText>article" : "", "family" : "Price", "given" : "Cathy", "non-dropping-particle" : "", "parse-names" : false, "suffix" : "" }, { "dropping-particle" : "", "family" : "Turner", "given" : "Robert", "non-dropping-particle" : "", "parse-names" : false, "suffix" :</w:instrText>
      </w:r>
      <w:r>
        <w:instrText xml:space="preserve"> "" } ], "container-title" : "NeuroImage", "id" : "ITEM-1", "issue" : "1", "issued" : { "date-parts" : [ [ "2002", "1" ] ] }, "page" : "136-42", "title" : "Echo time dependence of BOLD contrast and susceptibility artifacts.", "type" : "article-journal", "v</w:instrText>
      </w:r>
      <w:r>
        <w:instrText>olume" : "15" }, "uris" : [ "http://www.mendeley.com/documents/?uuid=0fbb139e-0aa8-3822-93ea-2b74093cd0ce" ] } ], "mendeley" : { "formattedCitation" : "[34]", "plainTextFormattedCitation" : "[34]", "previouslyFormattedCitation" : "[30]" }, "properties" : {</w:instrText>
      </w:r>
      <w:r>
        <w:instrText xml:space="preserve">  }, "schema" : "https://github.com/citation-style-language/schema/raw/master/csl-citation.json" }</w:instrText>
      </w:r>
      <w:r>
        <w:fldChar w:fldCharType="separate"/>
      </w:r>
      <w:bookmarkStart w:id="39" w:name="__Fieldmark__563_3916728419"/>
      <w:r>
        <w:t>[34]</w:t>
      </w:r>
      <w:r>
        <w:fldChar w:fldCharType="end"/>
      </w:r>
      <w:bookmarkEnd w:id="39"/>
      <w:r>
        <w:t xml:space="preserve">. Echo time of 30ms was used for </w:t>
      </w:r>
      <w:r>
        <w:t>?</w:t>
      </w:r>
      <w:r>
        <w:t xml:space="preserve"> all following fMRI experiments.</w:t>
      </w:r>
    </w:p>
    <w:p w:rsidR="00556DE7" w:rsidRDefault="00556DE7">
      <w:pPr>
        <w:jc w:val="both"/>
        <w:rPr>
          <w:rFonts w:cs="Times New Roman"/>
          <w:b/>
          <w:bCs/>
          <w:i/>
          <w:iCs/>
        </w:rPr>
      </w:pPr>
    </w:p>
    <w:p w:rsidR="00556DE7" w:rsidRDefault="00BA5CBD">
      <w:pPr>
        <w:jc w:val="both"/>
        <w:rPr>
          <w:rFonts w:cs="Times New Roman"/>
          <w:b/>
          <w:bCs/>
          <w:i/>
          <w:iCs/>
        </w:rPr>
      </w:pPr>
      <w:r>
        <w:rPr>
          <w:rFonts w:cs="Times New Roman"/>
          <w:b/>
          <w:bCs/>
          <w:i/>
          <w:iCs/>
        </w:rPr>
        <w:t>Monocular visual stimulation</w:t>
      </w:r>
    </w:p>
    <w:p w:rsidR="00556DE7" w:rsidRDefault="00BA5CBD">
      <w:pPr>
        <w:spacing w:after="0" w:line="360" w:lineRule="auto"/>
        <w:jc w:val="both"/>
      </w:pPr>
      <w:r>
        <w:t>The monocular visual stimuli were presented with op</w:t>
      </w:r>
      <w:r>
        <w:t xml:space="preserve">tic fibers strategically positioned to present light to one eye only. The eyes were neither taped close nor were the eyelids taped open to reduce the amount of physiological stress. </w:t>
      </w:r>
    </w:p>
    <w:p w:rsidR="00556DE7" w:rsidRDefault="00BA5CBD">
      <w:pPr>
        <w:spacing w:after="0" w:line="360" w:lineRule="auto"/>
        <w:jc w:val="both"/>
      </w:pPr>
      <w:bookmarkStart w:id="40" w:name="OLE_LINK3"/>
      <w:r>
        <w:t>To confirm our findings, we also performed monocular visual stimulation u</w:t>
      </w:r>
      <w:r>
        <w:t>sing the red 8 Hz stimulus in 4 subjects.</w:t>
      </w:r>
      <w:bookmarkEnd w:id="40"/>
      <w:r>
        <w:t xml:space="preserve"> Since the optic nerve of crocodiles decussates virtually completely at the optic chiasm </w:t>
      </w:r>
      <w:r>
        <w:fldChar w:fldCharType="begin"/>
      </w:r>
      <w:r>
        <w:instrText xml:space="preserve">ADDIN CSL_CITATION { "citationItems" : [ { "id" : "ITEM-1", "itemData" : { "DOI" : "10.1016/B0-12-370878-8/00130-0", "ISBN" : </w:instrText>
      </w:r>
      <w:r>
        <w:instrText xml:space="preserve">"9780123708786", "abstract" : "This article provides an overview of how differences in brain organization of tetrapods might have evolved and how they can be recognized. The current views of reptilian taxonomy, with special emphasis on the relationship of </w:instrText>
      </w:r>
      <w:r>
        <w:instrText>turtles to other reptiles are reviewed. Reptilian sensory systems and regions are then described and compared with those of amphibians, birds, and mammals, noting features that have been especially divergent. Transitions from an amphibian-like state and to</w:instrText>
      </w:r>
      <w:r>
        <w:instrText xml:space="preserve"> avian- and mammalian-like states are discussed.", "author" : [ { "dropping-particle" : "", "family" : "Bruce", "given" : "L.L.", "non-dropping-particle" : "", "parse-names" : false, "suffix" : "" } ], "container-title" : "Evolution of Nervous Systems", "i</w:instrText>
      </w:r>
      <w:r>
        <w:instrText>d" : "ITEM-1", "issued" : { "date-parts" : [ [ "2007" ] ] }, "page" : "125-156", "publisher" : "Elsevier", "title" : "Evolution of Nervous Systems in Reptiles", "type" : "article-journal" }, "uris" : [ "http://www.mendeley.com/documents/?uuid=e76c8ad2-6ed4</w:instrText>
      </w:r>
      <w:r>
        <w:instrText>-3990-b5ea-d319dbdb396f" ] }, { "id" : "ITEM-2", "itemData" : { "DOI" : "10.1007/s004290050271", "ISBN" : "0340-2061", "ISSN" : "03402061", "PMID" : "10424875", "abstract" : "The retinal projections of Caiman crocodilus and Crocodylus niloticus were invest</w:instrText>
      </w:r>
      <w:r>
        <w:instrText>igated by means of the orthograde axonal transport of either rhodamine beta-isothiocyanate or tritiated proline. In these two species, each tracer revealed contralateral retinal projections to three hypothalamic regions (subventricular gray matter, nucleus</w:instrText>
      </w:r>
      <w:r>
        <w:instrText xml:space="preserve"> suprachiasmaticus, and area optica hypothalami lateralis), five thalamic regions (nuclei ovalis, dorsolateralis anterior, ventrolateralis and ventrobasalis, and lateral geniculate complex, of which six subcomponents can be distinguished), six pretectal re</w:instrText>
      </w:r>
      <w:r>
        <w:instrText xml:space="preserve">gions (nuclei posterodorsalis, lentiformis mesencephali, griseus tectalis, geniculatus pretectalis, area optica commissurae posterior and area optica pretectalis lateroventralis), six outermost layers of the optic tectum, and the nucleus opticus tegmenti. </w:instrText>
      </w:r>
      <w:r>
        <w:instrText xml:space="preserve">Weak ipsilateral retinal projections have been observed in two hypothalamic nuclei and in the nucleus opticus tegmenti. Comparative analysis with other data show that the contralateral retinal projections of crocodiles are considerably more reptilian than </w:instrText>
      </w:r>
      <w:r>
        <w:instrText>avian. Moreover, crocodiles share with birds an extremely poor contingent of ipsilateral retinal projections.", "author" : [ { "dropping-particle" : "", "family" : "Derobert", "given" : "Y", "non-dropping-particle" : "", "parse-names" : false, "suffix" : "</w:instrText>
      </w:r>
      <w:r>
        <w:instrText>" }, { "dropping-particle" : "", "family" : "M\u00e9dina", "given" : "M", "non-dropping-particle" : "", "parse-names" : false, "suffix" : "" }, { "dropping-particle" : "", "family" : "Rio", "given" : "J P", "non-dropping-particle" : "", "parse-names" : fal</w:instrText>
      </w:r>
      <w:r>
        <w:instrText>se, "suffix" : "" }, { "dropping-particle" : "", "family" : "Ward", "given" : "R", "non-dropping-particle" : "", "parse-names" : false, "suffix" : "" }, { "dropping-particle" : "", "family" : "Rep\u00e9rant", "given" : "J", "non-dropping-particle" : "", "p</w:instrText>
      </w:r>
      <w:r>
        <w:instrText>arse-names" : false, "suffix" : "" }, { "dropping-particle" : "", "family" : "Marchand", "given" : "M J", "non-dropping-particle" : "", "parse-names" : false, "suffix" : "" }, { "dropping-particle" : "", "family" : "Miceli", "given" : "D", "non-dropping-pa</w:instrText>
      </w:r>
      <w:r>
        <w:instrText>rticle" : "", "parse-names" : false, "suffix" : "" } ], "container-title" : "Anatomy and Embryology", "id" : "ITEM-2", "issue" : "2", "issued" : { "date-parts" : [ [ "1999", "8" ] ] }, "page" : "175-191", "title" : "Retinal projections in two crocodilian s</w:instrText>
      </w:r>
      <w:r>
        <w:instrText>pecies, Caiman crocodilus and Crocodylus niloticus", "type" : "article-journal", "volume" : "200" }, "uris" : [ "http://www.mendeley.com/documents/?uuid=9c6110ec-1c04-3ce4-837c-7403772ff4b5" ] } ], "mendeley" : { "formattedCitation" : "[35,36]", "plainText</w:instrText>
      </w:r>
      <w:r>
        <w:instrText>FormattedCitation" : "[35,36]", "previouslyFormattedCitation" : "[31,32]" }, "properties" : {  }, "schema" : "https://github.com/citation-style-language/schema/raw/master/csl-citation.json" }</w:instrText>
      </w:r>
      <w:r>
        <w:fldChar w:fldCharType="separate"/>
      </w:r>
      <w:bookmarkStart w:id="41" w:name="__Fieldmark__581_3916728419"/>
      <w:r>
        <w:t>[35,36]</w:t>
      </w:r>
      <w:r>
        <w:fldChar w:fldCharType="end"/>
      </w:r>
      <w:bookmarkEnd w:id="41"/>
      <w:r>
        <w:t xml:space="preserve"> we only expected a contralateral activation to the sti</w:t>
      </w:r>
      <w:r>
        <w:t xml:space="preserve">mulated eye. Indeed, monocular stimulation only evoked a BOLD response in the contralateral hemisphere, with the distribution of activated voxels within each hemisphere being identical to the binocular condition (Figure S06). In this </w:t>
      </w:r>
      <w:r>
        <w:lastRenderedPageBreak/>
        <w:t xml:space="preserve">monocular stimulation </w:t>
      </w:r>
      <w:r>
        <w:t xml:space="preserve">the BOLD response persisted after the stimulus period and reached a peak at 23.1±2.6s, identical to the binocular condition (two-sample t-test, p&gt;0.05); however, in contrast to the binocular stimulation, no Rt activity was recorded during monocular visual </w:t>
      </w:r>
      <w:r>
        <w:t>stimulation.</w:t>
      </w:r>
      <w:r>
        <w:rPr>
          <w:rFonts w:cs="Times New Roman"/>
          <w:b/>
          <w:bCs/>
          <w:i/>
          <w:iCs/>
        </w:rPr>
        <w:t xml:space="preserve"> </w:t>
      </w:r>
      <w:r>
        <w:t xml:space="preserve">The lack of Rt responses in the monocular stimulation paradigm appears to be related to the observation that the Rt receives bilateral input from the optic tectum </w:t>
      </w:r>
      <w:r>
        <w:fldChar w:fldCharType="begin"/>
      </w:r>
      <w:r>
        <w:instrText>ADDIN CSL_CITATION { "citationItems" : [ { "id" : "ITEM-1", "itemData" : { "DOI"</w:instrText>
      </w:r>
      <w:r>
        <w:instrText xml:space="preserve"> : "10.1016/B978-0-12-804042-3.00007-5", "author" : [ { "dropping-particle" : "", "family" : "G\u00fcnt\u00fcrk\u00fcn", "given" : "O.", "non-dropping-particle" : "", "parse-names" : false, "suffix" : "" }, { "dropping-particle" : "", "family" : "Stacho", </w:instrText>
      </w:r>
      <w:r>
        <w:instrText>"given" : "M.", "non-dropping-particle" : "", "parse-names" : false, "suffix" : "" }, { "dropping-particle" : "", "family" : "Str\u00f6ckens", "given" : "F.", "non-dropping-particle" : "", "parse-names" : false, "suffix" : "" } ], "container-title" : "Evol</w:instrText>
      </w:r>
      <w:r>
        <w:instrText>ution of Nervous Systems", "id" : "ITEM-1", "issued" : { "date-parts" : [ [ "2017" ] ] }, "page" : "171-221", "publisher" : "Elsevier", "title" : "The Brains of Reptiles and Birds", "type" : "chapter" }, "uris" : [ "http://www.mendeley.com/documents/?uuid=</w:instrText>
      </w:r>
      <w:r>
        <w:instrText>f69a6045-4900-37b2-989b-d4ad36a29773" ] } ], "mendeley" : { "formattedCitation" : "[37]", "plainTextFormattedCitation" : "[37]", "previouslyFormattedCitation" : "[33]" }, "properties" : {  }, "schema" : "https://github.com/citation-style-language/schema/ra</w:instrText>
      </w:r>
      <w:r>
        <w:instrText>w/master/csl-citation.json" }</w:instrText>
      </w:r>
      <w:r>
        <w:fldChar w:fldCharType="separate"/>
      </w:r>
      <w:bookmarkStart w:id="42" w:name="__Fieldmark__592_3916728419"/>
      <w:r>
        <w:t>[37]</w:t>
      </w:r>
      <w:r>
        <w:fldChar w:fldCharType="end"/>
      </w:r>
      <w:bookmarkEnd w:id="42"/>
      <w:r>
        <w:t xml:space="preserve">. As monocular stimuli only activated the optic tectum contralateral to the stimulus, Rt will only receive unilateral input, resulting in lower Rt activation in comparison to a binocular stimulation paradigm, which is </w:t>
      </w:r>
      <w:r>
        <w:t>likely to be under the detection threshold of our protocol.</w:t>
      </w:r>
    </w:p>
    <w:p w:rsidR="00556DE7" w:rsidRDefault="00556DE7">
      <w:pPr>
        <w:jc w:val="both"/>
        <w:rPr>
          <w:rFonts w:cs="Times New Roman"/>
          <w:b/>
          <w:bCs/>
          <w:i/>
          <w:iCs/>
        </w:rPr>
      </w:pPr>
    </w:p>
    <w:p w:rsidR="00556DE7" w:rsidRDefault="00BA5CBD">
      <w:pPr>
        <w:jc w:val="both"/>
        <w:rPr>
          <w:b/>
          <w:bCs/>
        </w:rPr>
      </w:pPr>
      <w:r>
        <w:rPr>
          <w:b/>
          <w:bCs/>
        </w:rPr>
        <w:t>References</w:t>
      </w:r>
    </w:p>
    <w:p w:rsidR="00556DE7" w:rsidRDefault="00BA5CBD">
      <w:pPr>
        <w:widowControl w:val="0"/>
        <w:spacing w:line="240" w:lineRule="auto"/>
        <w:ind w:left="640" w:hanging="640"/>
      </w:pPr>
      <w:r>
        <w:fldChar w:fldCharType="begin"/>
      </w:r>
      <w:r>
        <w:instrText>ADDIN Mendeley Bibliography CSL_BIBLIOGRAPHY</w:instrText>
      </w:r>
      <w:r>
        <w:fldChar w:fldCharType="separate"/>
      </w:r>
      <w:bookmarkStart w:id="43" w:name="__Fieldmark__599_3916728419"/>
      <w:r>
        <w:rPr>
          <w:rFonts w:cs="Times New Roman"/>
          <w:szCs w:val="24"/>
        </w:rPr>
        <w:t>1.</w:t>
      </w:r>
      <w:r>
        <w:rPr>
          <w:rFonts w:cs="Times New Roman"/>
          <w:szCs w:val="24"/>
        </w:rPr>
        <w:tab/>
        <w:t>Pawela CP, Biswal BB, Hudetz AG, Schulte ML, Li R, Jones SR, Cho YR, Matloub HS, Hyde JS. 2009 A protocol for use of medetomidine anesthe</w:t>
      </w:r>
      <w:r>
        <w:rPr>
          <w:rFonts w:cs="Times New Roman"/>
          <w:szCs w:val="24"/>
        </w:rPr>
        <w:t xml:space="preserve">sia in rats for extended studies using task-induced BOLD contrast and resting-state functional connectivity. </w:t>
      </w:r>
      <w:r>
        <w:rPr>
          <w:rFonts w:cs="Times New Roman"/>
          <w:i/>
          <w:iCs/>
          <w:szCs w:val="24"/>
        </w:rPr>
        <w:t>Neuroimage</w:t>
      </w:r>
      <w:r>
        <w:rPr>
          <w:rFonts w:cs="Times New Roman"/>
          <w:szCs w:val="24"/>
        </w:rPr>
        <w:t xml:space="preserve"> </w:t>
      </w:r>
      <w:r>
        <w:rPr>
          <w:rFonts w:cs="Times New Roman"/>
          <w:b/>
          <w:bCs/>
          <w:szCs w:val="24"/>
        </w:rPr>
        <w:t>46</w:t>
      </w:r>
      <w:r>
        <w:rPr>
          <w:rFonts w:cs="Times New Roman"/>
          <w:szCs w:val="24"/>
        </w:rPr>
        <w:t>, 1137–47. (doi:10.1016/j.neuroimage.2009.03.004)</w:t>
      </w:r>
      <w:bookmarkEnd w:id="43"/>
      <w:r>
        <w:fldChar w:fldCharType="end"/>
      </w:r>
    </w:p>
    <w:p w:rsidR="00556DE7" w:rsidRDefault="00BA5CBD">
      <w:pPr>
        <w:widowControl w:val="0"/>
        <w:spacing w:line="240" w:lineRule="auto"/>
        <w:ind w:left="640" w:hanging="640"/>
        <w:rPr>
          <w:rFonts w:ascii="Calibri" w:hAnsi="Calibri" w:cs="Times New Roman"/>
          <w:szCs w:val="24"/>
        </w:rPr>
      </w:pPr>
      <w:r>
        <w:rPr>
          <w:rFonts w:cs="Times New Roman"/>
          <w:szCs w:val="24"/>
        </w:rPr>
        <w:t>2.</w:t>
      </w:r>
      <w:r>
        <w:rPr>
          <w:rFonts w:cs="Times New Roman"/>
          <w:szCs w:val="24"/>
        </w:rPr>
        <w:tab/>
        <w:t>Behroozi M, Chwiesko C, Ströckens F, Sauvage M, Helluy X, Peterburs J, Güntürk</w:t>
      </w:r>
      <w:r>
        <w:rPr>
          <w:rFonts w:cs="Times New Roman"/>
          <w:szCs w:val="24"/>
        </w:rPr>
        <w:t xml:space="preserve">ün O. 2017 In vivo measurement of T1 and T2 relaxation times in awake pigeon and rat brains at 7T. </w:t>
      </w:r>
      <w:r>
        <w:rPr>
          <w:rFonts w:cs="Times New Roman"/>
          <w:i/>
          <w:iCs/>
          <w:szCs w:val="24"/>
        </w:rPr>
        <w:t>Magn. Reson. Med.</w:t>
      </w:r>
      <w:r>
        <w:rPr>
          <w:rFonts w:cs="Times New Roman"/>
          <w:szCs w:val="24"/>
        </w:rPr>
        <w:t xml:space="preserve"> (doi:10.1002/mrm.26722)</w:t>
      </w:r>
    </w:p>
    <w:p w:rsidR="00556DE7" w:rsidRDefault="00BA5CBD">
      <w:pPr>
        <w:widowControl w:val="0"/>
        <w:spacing w:line="240" w:lineRule="auto"/>
        <w:ind w:left="640" w:hanging="640"/>
        <w:rPr>
          <w:rFonts w:ascii="Calibri" w:hAnsi="Calibri" w:cs="Times New Roman"/>
          <w:szCs w:val="24"/>
        </w:rPr>
      </w:pPr>
      <w:r>
        <w:rPr>
          <w:rFonts w:cs="Times New Roman"/>
          <w:szCs w:val="24"/>
        </w:rPr>
        <w:t>3.</w:t>
      </w:r>
      <w:r>
        <w:rPr>
          <w:rFonts w:cs="Times New Roman"/>
          <w:szCs w:val="24"/>
        </w:rPr>
        <w:tab/>
        <w:t>Shirer WR, Jiang H, Price CM, Ng B, Greicius MD. 2015 Optimization of rs-fMRI Pre-processing for Enhanced Signal</w:t>
      </w:r>
      <w:r>
        <w:rPr>
          <w:rFonts w:cs="Times New Roman"/>
          <w:szCs w:val="24"/>
        </w:rPr>
        <w:t xml:space="preserve">-Noise Separation, Test-Retest Reliability, and Group Discrimination. </w:t>
      </w:r>
      <w:r>
        <w:rPr>
          <w:rFonts w:cs="Times New Roman"/>
          <w:i/>
          <w:iCs/>
          <w:szCs w:val="24"/>
        </w:rPr>
        <w:t>Neuroimage</w:t>
      </w:r>
      <w:r>
        <w:rPr>
          <w:rFonts w:cs="Times New Roman"/>
          <w:szCs w:val="24"/>
        </w:rPr>
        <w:t xml:space="preserve"> </w:t>
      </w:r>
      <w:r>
        <w:rPr>
          <w:rFonts w:cs="Times New Roman"/>
          <w:b/>
          <w:bCs/>
          <w:szCs w:val="24"/>
        </w:rPr>
        <w:t>117</w:t>
      </w:r>
      <w:r>
        <w:rPr>
          <w:rFonts w:cs="Times New Roman"/>
          <w:szCs w:val="24"/>
        </w:rPr>
        <w:t>, 67–79. (doi:10.1016/j.neuroimage.2015.05.015)</w:t>
      </w:r>
    </w:p>
    <w:p w:rsidR="00556DE7" w:rsidRDefault="00BA5CBD">
      <w:pPr>
        <w:widowControl w:val="0"/>
        <w:spacing w:line="240" w:lineRule="auto"/>
        <w:ind w:left="640" w:hanging="640"/>
        <w:rPr>
          <w:rFonts w:ascii="Calibri" w:hAnsi="Calibri" w:cs="Times New Roman"/>
          <w:szCs w:val="24"/>
        </w:rPr>
      </w:pPr>
      <w:r>
        <w:rPr>
          <w:rFonts w:cs="Times New Roman"/>
          <w:szCs w:val="24"/>
        </w:rPr>
        <w:t>4.</w:t>
      </w:r>
      <w:r>
        <w:rPr>
          <w:rFonts w:cs="Times New Roman"/>
          <w:szCs w:val="24"/>
        </w:rPr>
        <w:tab/>
        <w:t>Song X-W, Dong Z-Y, Long X-Y, Li S-F, Zuo X-N, Zhu C-Z, He Y, Yan C-G, Zang Y-F. 2011 REST: A Toolkit for Resting-State F</w:t>
      </w:r>
      <w:r>
        <w:rPr>
          <w:rFonts w:cs="Times New Roman"/>
          <w:szCs w:val="24"/>
        </w:rPr>
        <w:t xml:space="preserve">unctional Magnetic Resonance Imaging Data Processing. </w:t>
      </w:r>
      <w:r>
        <w:rPr>
          <w:rFonts w:cs="Times New Roman"/>
          <w:i/>
          <w:iCs/>
          <w:szCs w:val="24"/>
        </w:rPr>
        <w:t>PLoS One</w:t>
      </w:r>
      <w:r>
        <w:rPr>
          <w:rFonts w:cs="Times New Roman"/>
          <w:szCs w:val="24"/>
        </w:rPr>
        <w:t xml:space="preserve"> </w:t>
      </w:r>
      <w:r>
        <w:rPr>
          <w:rFonts w:cs="Times New Roman"/>
          <w:b/>
          <w:bCs/>
          <w:szCs w:val="24"/>
        </w:rPr>
        <w:t>6</w:t>
      </w:r>
      <w:r>
        <w:rPr>
          <w:rFonts w:cs="Times New Roman"/>
          <w:szCs w:val="24"/>
        </w:rPr>
        <w:t>, e25031. (doi:10.1371/journal.pone.0025031)</w:t>
      </w:r>
    </w:p>
    <w:p w:rsidR="00556DE7" w:rsidRDefault="00BA5CBD">
      <w:pPr>
        <w:widowControl w:val="0"/>
        <w:spacing w:line="240" w:lineRule="auto"/>
        <w:ind w:left="640" w:hanging="640"/>
        <w:rPr>
          <w:rFonts w:ascii="Calibri" w:hAnsi="Calibri" w:cs="Times New Roman"/>
          <w:szCs w:val="24"/>
        </w:rPr>
      </w:pPr>
      <w:r>
        <w:rPr>
          <w:rFonts w:cs="Times New Roman"/>
          <w:szCs w:val="24"/>
        </w:rPr>
        <w:t>5.</w:t>
      </w:r>
      <w:r>
        <w:rPr>
          <w:rFonts w:cs="Times New Roman"/>
          <w:szCs w:val="24"/>
        </w:rPr>
        <w:tab/>
        <w:t xml:space="preserve">Gudbjartsson H, Patz S. 1995 The rician distribution of noisy mri data. </w:t>
      </w:r>
      <w:r>
        <w:rPr>
          <w:rFonts w:cs="Times New Roman"/>
          <w:i/>
          <w:iCs/>
          <w:szCs w:val="24"/>
        </w:rPr>
        <w:t>Magn. Reson. Med.</w:t>
      </w:r>
      <w:r>
        <w:rPr>
          <w:rFonts w:cs="Times New Roman"/>
          <w:szCs w:val="24"/>
        </w:rPr>
        <w:t xml:space="preserve"> </w:t>
      </w:r>
      <w:r>
        <w:rPr>
          <w:rFonts w:cs="Times New Roman"/>
          <w:b/>
          <w:bCs/>
          <w:szCs w:val="24"/>
        </w:rPr>
        <w:t>34</w:t>
      </w:r>
      <w:r>
        <w:rPr>
          <w:rFonts w:cs="Times New Roman"/>
          <w:szCs w:val="24"/>
        </w:rPr>
        <w:t>, 910–914. (doi:10.1002/mrm.1910340618)</w:t>
      </w:r>
    </w:p>
    <w:p w:rsidR="00556DE7" w:rsidRDefault="00BA5CBD">
      <w:pPr>
        <w:widowControl w:val="0"/>
        <w:spacing w:line="240" w:lineRule="auto"/>
        <w:ind w:left="640" w:hanging="640"/>
        <w:rPr>
          <w:rFonts w:ascii="Calibri" w:hAnsi="Calibri" w:cs="Times New Roman"/>
          <w:szCs w:val="24"/>
        </w:rPr>
      </w:pPr>
      <w:r>
        <w:rPr>
          <w:rFonts w:cs="Times New Roman"/>
          <w:szCs w:val="24"/>
        </w:rPr>
        <w:t>6.</w:t>
      </w:r>
      <w:r>
        <w:rPr>
          <w:rFonts w:cs="Times New Roman"/>
          <w:szCs w:val="24"/>
        </w:rPr>
        <w:tab/>
        <w:t>Triantafy</w:t>
      </w:r>
      <w:r>
        <w:rPr>
          <w:rFonts w:cs="Times New Roman"/>
          <w:szCs w:val="24"/>
        </w:rPr>
        <w:t xml:space="preserve">llou C, Hoge RD, Krueger G, Wiggins CJ, Potthast A, Wiggins GC, Wald LL. 2005 Comparison of physiological noise at 1.5 T, 3 T and 7 T and optimization of fMRI acquisition parameters. </w:t>
      </w:r>
      <w:r>
        <w:rPr>
          <w:rFonts w:cs="Times New Roman"/>
          <w:i/>
          <w:iCs/>
          <w:szCs w:val="24"/>
        </w:rPr>
        <w:t>Neuroimage</w:t>
      </w:r>
      <w:r>
        <w:rPr>
          <w:rFonts w:cs="Times New Roman"/>
          <w:szCs w:val="24"/>
        </w:rPr>
        <w:t xml:space="preserve"> </w:t>
      </w:r>
      <w:r>
        <w:rPr>
          <w:rFonts w:cs="Times New Roman"/>
          <w:b/>
          <w:bCs/>
          <w:szCs w:val="24"/>
        </w:rPr>
        <w:t>26</w:t>
      </w:r>
      <w:r>
        <w:rPr>
          <w:rFonts w:cs="Times New Roman"/>
          <w:szCs w:val="24"/>
        </w:rPr>
        <w:t>, 243–250. (doi:10.1016/j.neuroimage.2005.01.007)</w:t>
      </w:r>
    </w:p>
    <w:p w:rsidR="00556DE7" w:rsidRDefault="00BA5CBD">
      <w:pPr>
        <w:widowControl w:val="0"/>
        <w:spacing w:line="240" w:lineRule="auto"/>
        <w:ind w:left="640" w:hanging="640"/>
        <w:rPr>
          <w:rFonts w:ascii="Calibri" w:hAnsi="Calibri" w:cs="Times New Roman"/>
          <w:szCs w:val="24"/>
        </w:rPr>
      </w:pPr>
      <w:r>
        <w:rPr>
          <w:rFonts w:cs="Times New Roman"/>
          <w:szCs w:val="24"/>
        </w:rPr>
        <w:t>7.</w:t>
      </w:r>
      <w:r>
        <w:rPr>
          <w:rFonts w:cs="Times New Roman"/>
          <w:szCs w:val="24"/>
        </w:rPr>
        <w:tab/>
        <w:t>Olkowic</w:t>
      </w:r>
      <w:r>
        <w:rPr>
          <w:rFonts w:cs="Times New Roman"/>
          <w:szCs w:val="24"/>
        </w:rPr>
        <w:t xml:space="preserve">z S, Kocourek M, Lučan RK, Porteš M, Fitch WT, Herculano-Houzel S, Němec P. 2016 Birds have primate-like numbers of neurons in the forebrain. </w:t>
      </w:r>
      <w:r>
        <w:rPr>
          <w:rFonts w:cs="Times New Roman"/>
          <w:i/>
          <w:iCs/>
          <w:szCs w:val="24"/>
        </w:rPr>
        <w:t>Proc. Natl. Acad. Sci.</w:t>
      </w:r>
      <w:r>
        <w:rPr>
          <w:rFonts w:cs="Times New Roman"/>
          <w:szCs w:val="24"/>
        </w:rPr>
        <w:t xml:space="preserve"> </w:t>
      </w:r>
      <w:r>
        <w:rPr>
          <w:rFonts w:cs="Times New Roman"/>
          <w:b/>
          <w:bCs/>
          <w:szCs w:val="24"/>
        </w:rPr>
        <w:t>113</w:t>
      </w:r>
      <w:r>
        <w:rPr>
          <w:rFonts w:cs="Times New Roman"/>
          <w:szCs w:val="24"/>
        </w:rPr>
        <w:t>, 7255–7260. (doi:10.1073/pnas.1517131113)</w:t>
      </w:r>
    </w:p>
    <w:p w:rsidR="00556DE7" w:rsidRDefault="00BA5CBD">
      <w:pPr>
        <w:widowControl w:val="0"/>
        <w:spacing w:line="240" w:lineRule="auto"/>
        <w:ind w:left="640" w:hanging="640"/>
        <w:rPr>
          <w:rFonts w:ascii="Calibri" w:hAnsi="Calibri" w:cs="Times New Roman"/>
          <w:szCs w:val="24"/>
        </w:rPr>
      </w:pPr>
      <w:r>
        <w:rPr>
          <w:rFonts w:cs="Times New Roman"/>
          <w:szCs w:val="24"/>
        </w:rPr>
        <w:t>8.</w:t>
      </w:r>
      <w:r>
        <w:rPr>
          <w:rFonts w:cs="Times New Roman"/>
          <w:szCs w:val="24"/>
        </w:rPr>
        <w:tab/>
        <w:t>Ngwenya A, Patzke N, Manger PR, Herculano-</w:t>
      </w:r>
      <w:r>
        <w:rPr>
          <w:rFonts w:cs="Times New Roman"/>
          <w:szCs w:val="24"/>
        </w:rPr>
        <w:t xml:space="preserve">Houzel S. 2016 Continued Growth of the Central Nervous System without Mandatory Addition of Neurons in the Nile Crocodile (Crocodylus niloticus). </w:t>
      </w:r>
      <w:r>
        <w:rPr>
          <w:rFonts w:cs="Times New Roman"/>
          <w:i/>
          <w:iCs/>
          <w:szCs w:val="24"/>
        </w:rPr>
        <w:t>Brain. Behav. Evol.</w:t>
      </w:r>
      <w:r>
        <w:rPr>
          <w:rFonts w:cs="Times New Roman"/>
          <w:szCs w:val="24"/>
        </w:rPr>
        <w:t xml:space="preserve"> </w:t>
      </w:r>
      <w:r>
        <w:rPr>
          <w:rFonts w:cs="Times New Roman"/>
          <w:b/>
          <w:bCs/>
          <w:szCs w:val="24"/>
        </w:rPr>
        <w:t>87</w:t>
      </w:r>
      <w:r>
        <w:rPr>
          <w:rFonts w:cs="Times New Roman"/>
          <w:szCs w:val="24"/>
        </w:rPr>
        <w:t>, 19–38. (doi:10.1159/000443201)</w:t>
      </w:r>
    </w:p>
    <w:p w:rsidR="00556DE7" w:rsidRDefault="00BA5CBD">
      <w:pPr>
        <w:widowControl w:val="0"/>
        <w:spacing w:line="240" w:lineRule="auto"/>
        <w:ind w:left="640" w:hanging="640"/>
        <w:rPr>
          <w:rFonts w:ascii="Calibri" w:hAnsi="Calibri" w:cs="Times New Roman"/>
          <w:szCs w:val="24"/>
        </w:rPr>
      </w:pPr>
      <w:r>
        <w:rPr>
          <w:rFonts w:cs="Times New Roman"/>
          <w:szCs w:val="24"/>
        </w:rPr>
        <w:t>9.</w:t>
      </w:r>
      <w:r>
        <w:rPr>
          <w:rFonts w:cs="Times New Roman"/>
          <w:szCs w:val="24"/>
        </w:rPr>
        <w:tab/>
        <w:t>Schmolesky MT, Wang Y, Hanes DP, Thompson KG, Leutge</w:t>
      </w:r>
      <w:r>
        <w:rPr>
          <w:rFonts w:cs="Times New Roman"/>
          <w:szCs w:val="24"/>
        </w:rPr>
        <w:t xml:space="preserve">b S, Schall JD, Leventhal AG. 1998 Signal timing across the macaque visual system. </w:t>
      </w:r>
      <w:r>
        <w:rPr>
          <w:rFonts w:cs="Times New Roman"/>
          <w:i/>
          <w:iCs/>
          <w:szCs w:val="24"/>
        </w:rPr>
        <w:t>J. Neurophysiol.</w:t>
      </w:r>
      <w:r>
        <w:rPr>
          <w:rFonts w:cs="Times New Roman"/>
          <w:szCs w:val="24"/>
        </w:rPr>
        <w:t xml:space="preserve"> </w:t>
      </w:r>
      <w:r>
        <w:rPr>
          <w:rFonts w:cs="Times New Roman"/>
          <w:b/>
          <w:bCs/>
          <w:szCs w:val="24"/>
        </w:rPr>
        <w:t>79</w:t>
      </w:r>
      <w:r>
        <w:rPr>
          <w:rFonts w:cs="Times New Roman"/>
          <w:szCs w:val="24"/>
        </w:rPr>
        <w:t>, 3272.</w:t>
      </w:r>
    </w:p>
    <w:p w:rsidR="00556DE7" w:rsidRDefault="00BA5CBD">
      <w:pPr>
        <w:widowControl w:val="0"/>
        <w:spacing w:line="240" w:lineRule="auto"/>
        <w:ind w:left="640" w:hanging="640"/>
        <w:rPr>
          <w:rFonts w:ascii="Calibri" w:hAnsi="Calibri" w:cs="Times New Roman"/>
          <w:szCs w:val="24"/>
        </w:rPr>
      </w:pPr>
      <w:r>
        <w:rPr>
          <w:rFonts w:cs="Times New Roman"/>
          <w:szCs w:val="24"/>
        </w:rPr>
        <w:t>10.</w:t>
      </w:r>
      <w:r>
        <w:rPr>
          <w:rFonts w:cs="Times New Roman"/>
          <w:szCs w:val="24"/>
        </w:rPr>
        <w:tab/>
        <w:t xml:space="preserve">Kim S-G, Ogawa S. 2012 Biophysical and physiological origins of blood oxygenation level-dependent fMRI signals. </w:t>
      </w:r>
      <w:r>
        <w:rPr>
          <w:rFonts w:cs="Times New Roman"/>
          <w:i/>
          <w:iCs/>
          <w:szCs w:val="24"/>
        </w:rPr>
        <w:t>J. Cereb. Blood Flow Metab.</w:t>
      </w:r>
      <w:r>
        <w:rPr>
          <w:rFonts w:cs="Times New Roman"/>
          <w:szCs w:val="24"/>
        </w:rPr>
        <w:t xml:space="preserve"> </w:t>
      </w:r>
      <w:r>
        <w:rPr>
          <w:rFonts w:cs="Times New Roman"/>
          <w:b/>
          <w:bCs/>
          <w:szCs w:val="24"/>
        </w:rPr>
        <w:t>32</w:t>
      </w:r>
      <w:r>
        <w:rPr>
          <w:rFonts w:cs="Times New Roman"/>
          <w:szCs w:val="24"/>
        </w:rPr>
        <w:t>, 1188–206. (doi:10.1038/jcbfm.2012.23)</w:t>
      </w:r>
    </w:p>
    <w:p w:rsidR="00556DE7" w:rsidRDefault="00BA5CBD">
      <w:pPr>
        <w:widowControl w:val="0"/>
        <w:spacing w:line="240" w:lineRule="auto"/>
        <w:ind w:left="640" w:hanging="640"/>
        <w:rPr>
          <w:rFonts w:ascii="Calibri" w:hAnsi="Calibri" w:cs="Times New Roman"/>
          <w:szCs w:val="24"/>
        </w:rPr>
      </w:pPr>
      <w:r>
        <w:rPr>
          <w:rFonts w:cs="Times New Roman"/>
          <w:szCs w:val="24"/>
        </w:rPr>
        <w:lastRenderedPageBreak/>
        <w:t>11.</w:t>
      </w:r>
      <w:r>
        <w:rPr>
          <w:rFonts w:cs="Times New Roman"/>
          <w:szCs w:val="24"/>
        </w:rPr>
        <w:tab/>
        <w:t xml:space="preserve">Logothetis NK, Guggenberger H, Peled S, Pauls J. 1999 Functional imaging of the monkey brain. </w:t>
      </w:r>
      <w:r>
        <w:rPr>
          <w:rFonts w:cs="Times New Roman"/>
          <w:i/>
          <w:iCs/>
          <w:szCs w:val="24"/>
        </w:rPr>
        <w:t>Nat. Neurosci.</w:t>
      </w:r>
      <w:r>
        <w:rPr>
          <w:rFonts w:cs="Times New Roman"/>
          <w:szCs w:val="24"/>
        </w:rPr>
        <w:t xml:space="preserve"> </w:t>
      </w:r>
      <w:r>
        <w:rPr>
          <w:rFonts w:cs="Times New Roman"/>
          <w:b/>
          <w:bCs/>
          <w:szCs w:val="24"/>
        </w:rPr>
        <w:t>2</w:t>
      </w:r>
      <w:r>
        <w:rPr>
          <w:rFonts w:cs="Times New Roman"/>
          <w:szCs w:val="24"/>
        </w:rPr>
        <w:t>, 555–62. (doi:10.1038/9210)</w:t>
      </w:r>
    </w:p>
    <w:p w:rsidR="00556DE7" w:rsidRDefault="00BA5CBD">
      <w:pPr>
        <w:widowControl w:val="0"/>
        <w:spacing w:line="240" w:lineRule="auto"/>
        <w:ind w:left="640" w:hanging="640"/>
        <w:rPr>
          <w:rFonts w:ascii="Calibri" w:hAnsi="Calibri" w:cs="Times New Roman"/>
          <w:szCs w:val="24"/>
        </w:rPr>
      </w:pPr>
      <w:r>
        <w:rPr>
          <w:rFonts w:cs="Times New Roman"/>
          <w:szCs w:val="24"/>
        </w:rPr>
        <w:t>12.</w:t>
      </w:r>
      <w:r>
        <w:rPr>
          <w:rFonts w:cs="Times New Roman"/>
          <w:szCs w:val="24"/>
        </w:rPr>
        <w:tab/>
      </w:r>
      <w:r>
        <w:rPr>
          <w:rFonts w:cs="Times New Roman"/>
          <w:szCs w:val="24"/>
        </w:rPr>
        <w:t xml:space="preserve">Logothetis NK, Pauls J, Augath M, Trinath T, Oeltermann A. 2001 Neurophysiological investigation of the basis of the fMRI signal. </w:t>
      </w:r>
      <w:r>
        <w:rPr>
          <w:rFonts w:cs="Times New Roman"/>
          <w:i/>
          <w:iCs/>
          <w:szCs w:val="24"/>
        </w:rPr>
        <w:t>Nature</w:t>
      </w:r>
      <w:r>
        <w:rPr>
          <w:rFonts w:cs="Times New Roman"/>
          <w:szCs w:val="24"/>
        </w:rPr>
        <w:t xml:space="preserve"> </w:t>
      </w:r>
      <w:r>
        <w:rPr>
          <w:rFonts w:cs="Times New Roman"/>
          <w:b/>
          <w:bCs/>
          <w:szCs w:val="24"/>
        </w:rPr>
        <w:t>412</w:t>
      </w:r>
      <w:r>
        <w:rPr>
          <w:rFonts w:cs="Times New Roman"/>
          <w:szCs w:val="24"/>
        </w:rPr>
        <w:t>, 150–157. (doi:10.1038/35084005)</w:t>
      </w:r>
    </w:p>
    <w:p w:rsidR="00556DE7" w:rsidRDefault="00BA5CBD">
      <w:pPr>
        <w:widowControl w:val="0"/>
        <w:spacing w:line="240" w:lineRule="auto"/>
        <w:ind w:left="640" w:hanging="640"/>
        <w:rPr>
          <w:rFonts w:ascii="Calibri" w:hAnsi="Calibri" w:cs="Times New Roman"/>
          <w:szCs w:val="24"/>
        </w:rPr>
      </w:pPr>
      <w:r>
        <w:rPr>
          <w:rFonts w:cs="Times New Roman"/>
          <w:szCs w:val="24"/>
        </w:rPr>
        <w:t>13.</w:t>
      </w:r>
      <w:r>
        <w:rPr>
          <w:rFonts w:cs="Times New Roman"/>
          <w:szCs w:val="24"/>
        </w:rPr>
        <w:tab/>
        <w:t xml:space="preserve">Van Meir V </w:t>
      </w:r>
      <w:r>
        <w:rPr>
          <w:rFonts w:cs="Times New Roman"/>
          <w:i/>
          <w:iCs/>
          <w:szCs w:val="24"/>
        </w:rPr>
        <w:t>et al.</w:t>
      </w:r>
      <w:r>
        <w:rPr>
          <w:rFonts w:cs="Times New Roman"/>
          <w:szCs w:val="24"/>
        </w:rPr>
        <w:t xml:space="preserve"> 2005 Spatiotemporal properties of the BOLD response in the songbirds’ auditory circuit during a variety of listening tasks. </w:t>
      </w:r>
      <w:r>
        <w:rPr>
          <w:rFonts w:cs="Times New Roman"/>
          <w:i/>
          <w:iCs/>
          <w:szCs w:val="24"/>
        </w:rPr>
        <w:t>Neuroimage</w:t>
      </w:r>
      <w:r>
        <w:rPr>
          <w:rFonts w:cs="Times New Roman"/>
          <w:szCs w:val="24"/>
        </w:rPr>
        <w:t xml:space="preserve"> </w:t>
      </w:r>
      <w:r>
        <w:rPr>
          <w:rFonts w:cs="Times New Roman"/>
          <w:b/>
          <w:bCs/>
          <w:szCs w:val="24"/>
        </w:rPr>
        <w:t>25</w:t>
      </w:r>
      <w:r>
        <w:rPr>
          <w:rFonts w:cs="Times New Roman"/>
          <w:szCs w:val="24"/>
        </w:rPr>
        <w:t>, 1242–1255. (doi:10.1016/j.neuroimage.2004.12.058)</w:t>
      </w:r>
    </w:p>
    <w:p w:rsidR="00556DE7" w:rsidRDefault="00BA5CBD">
      <w:pPr>
        <w:widowControl w:val="0"/>
        <w:spacing w:line="240" w:lineRule="auto"/>
        <w:ind w:left="640" w:hanging="640"/>
        <w:rPr>
          <w:rFonts w:ascii="Calibri" w:hAnsi="Calibri" w:cs="Times New Roman"/>
          <w:szCs w:val="24"/>
        </w:rPr>
      </w:pPr>
      <w:r>
        <w:rPr>
          <w:rFonts w:cs="Times New Roman"/>
          <w:szCs w:val="24"/>
        </w:rPr>
        <w:t>14.</w:t>
      </w:r>
      <w:r>
        <w:rPr>
          <w:rFonts w:cs="Times New Roman"/>
          <w:szCs w:val="24"/>
        </w:rPr>
        <w:tab/>
        <w:t>Baumann S, Griffiths TD, Rees A, Hunter D, Sun L, Thiele A. 20</w:t>
      </w:r>
      <w:r>
        <w:rPr>
          <w:rFonts w:cs="Times New Roman"/>
          <w:szCs w:val="24"/>
        </w:rPr>
        <w:t xml:space="preserve">10 Characterisation of the BOLD response time course at different levels of the auditory pathway in non-human primates. </w:t>
      </w:r>
      <w:r>
        <w:rPr>
          <w:rFonts w:cs="Times New Roman"/>
          <w:i/>
          <w:iCs/>
          <w:szCs w:val="24"/>
        </w:rPr>
        <w:t>Neuroimage</w:t>
      </w:r>
      <w:r>
        <w:rPr>
          <w:rFonts w:cs="Times New Roman"/>
          <w:szCs w:val="24"/>
        </w:rPr>
        <w:t xml:space="preserve"> </w:t>
      </w:r>
      <w:r>
        <w:rPr>
          <w:rFonts w:cs="Times New Roman"/>
          <w:b/>
          <w:bCs/>
          <w:szCs w:val="24"/>
        </w:rPr>
        <w:t>50</w:t>
      </w:r>
      <w:r>
        <w:rPr>
          <w:rFonts w:cs="Times New Roman"/>
          <w:szCs w:val="24"/>
        </w:rPr>
        <w:t>, 1099–1108. (doi:10.1016/j.neuroimage.2009.12.103)</w:t>
      </w:r>
    </w:p>
    <w:p w:rsidR="00556DE7" w:rsidRDefault="00BA5CBD">
      <w:pPr>
        <w:widowControl w:val="0"/>
        <w:spacing w:line="240" w:lineRule="auto"/>
        <w:ind w:left="640" w:hanging="640"/>
        <w:rPr>
          <w:rFonts w:ascii="Calibri" w:hAnsi="Calibri" w:cs="Times New Roman"/>
          <w:szCs w:val="24"/>
        </w:rPr>
      </w:pPr>
      <w:r>
        <w:rPr>
          <w:rFonts w:cs="Times New Roman"/>
          <w:szCs w:val="24"/>
        </w:rPr>
        <w:t>15.</w:t>
      </w:r>
      <w:r>
        <w:rPr>
          <w:rFonts w:cs="Times New Roman"/>
          <w:szCs w:val="24"/>
        </w:rPr>
        <w:tab/>
        <w:t xml:space="preserve">Backes WH, Van Dijk P. 2002 Simultaneous sampling of event-related </w:t>
      </w:r>
      <w:r>
        <w:rPr>
          <w:rFonts w:cs="Times New Roman"/>
          <w:szCs w:val="24"/>
        </w:rPr>
        <w:t xml:space="preserve">BOLD responses in auditory cortex and brainstem. </w:t>
      </w:r>
      <w:r>
        <w:rPr>
          <w:rFonts w:cs="Times New Roman"/>
          <w:i/>
          <w:iCs/>
          <w:szCs w:val="24"/>
        </w:rPr>
        <w:t>Magn. Reson. Med.</w:t>
      </w:r>
      <w:r>
        <w:rPr>
          <w:rFonts w:cs="Times New Roman"/>
          <w:szCs w:val="24"/>
        </w:rPr>
        <w:t xml:space="preserve"> </w:t>
      </w:r>
      <w:r>
        <w:rPr>
          <w:rFonts w:cs="Times New Roman"/>
          <w:b/>
          <w:bCs/>
          <w:szCs w:val="24"/>
        </w:rPr>
        <w:t>47</w:t>
      </w:r>
      <w:r>
        <w:rPr>
          <w:rFonts w:cs="Times New Roman"/>
          <w:szCs w:val="24"/>
        </w:rPr>
        <w:t>, 90–96. (doi:10.1002/mrm.10015)</w:t>
      </w:r>
    </w:p>
    <w:p w:rsidR="00556DE7" w:rsidRDefault="00BA5CBD">
      <w:pPr>
        <w:widowControl w:val="0"/>
        <w:spacing w:line="240" w:lineRule="auto"/>
        <w:ind w:left="640" w:hanging="640"/>
        <w:rPr>
          <w:rFonts w:ascii="Calibri" w:hAnsi="Calibri" w:cs="Times New Roman"/>
          <w:szCs w:val="24"/>
        </w:rPr>
      </w:pPr>
      <w:r>
        <w:rPr>
          <w:rFonts w:cs="Times New Roman"/>
          <w:szCs w:val="24"/>
        </w:rPr>
        <w:t>16.</w:t>
      </w:r>
      <w:r>
        <w:rPr>
          <w:rFonts w:cs="Times New Roman"/>
          <w:szCs w:val="24"/>
        </w:rPr>
        <w:tab/>
        <w:t>Van Camp N, Verhoye M, De Zeeuw CI, Van der Linden A. 2006 Light stimulus frequency dependence of activity in the rat visual system as studied with hi</w:t>
      </w:r>
      <w:r>
        <w:rPr>
          <w:rFonts w:cs="Times New Roman"/>
          <w:szCs w:val="24"/>
        </w:rPr>
        <w:t xml:space="preserve">gh-resolution BOLD fMRI. </w:t>
      </w:r>
      <w:r>
        <w:rPr>
          <w:rFonts w:cs="Times New Roman"/>
          <w:i/>
          <w:iCs/>
          <w:szCs w:val="24"/>
        </w:rPr>
        <w:t>J Neurophysiol</w:t>
      </w:r>
      <w:r>
        <w:rPr>
          <w:rFonts w:cs="Times New Roman"/>
          <w:szCs w:val="24"/>
        </w:rPr>
        <w:t xml:space="preserve"> </w:t>
      </w:r>
      <w:r>
        <w:rPr>
          <w:rFonts w:cs="Times New Roman"/>
          <w:b/>
          <w:bCs/>
          <w:szCs w:val="24"/>
        </w:rPr>
        <w:t>95</w:t>
      </w:r>
      <w:r>
        <w:rPr>
          <w:rFonts w:cs="Times New Roman"/>
          <w:szCs w:val="24"/>
        </w:rPr>
        <w:t>, 3164–3170. (doi:00400.2005 [pii]\r10.1152/jn.00400.2005)</w:t>
      </w:r>
    </w:p>
    <w:p w:rsidR="00556DE7" w:rsidRDefault="00BA5CBD">
      <w:pPr>
        <w:widowControl w:val="0"/>
        <w:spacing w:line="240" w:lineRule="auto"/>
        <w:ind w:left="640" w:hanging="640"/>
        <w:rPr>
          <w:rFonts w:ascii="Calibri" w:hAnsi="Calibri" w:cs="Times New Roman"/>
          <w:szCs w:val="24"/>
        </w:rPr>
      </w:pPr>
      <w:r>
        <w:rPr>
          <w:rFonts w:cs="Times New Roman"/>
          <w:szCs w:val="24"/>
        </w:rPr>
        <w:t>17.</w:t>
      </w:r>
      <w:r>
        <w:rPr>
          <w:rFonts w:cs="Times New Roman"/>
          <w:szCs w:val="24"/>
        </w:rPr>
        <w:tab/>
        <w:t>Bailey CJ, Sanganahalli BG, Herman P, Blumenfeld H, Gjedde A, Hyder F. 2013 Analysis of time and space invariance of BOLD responses in the rat visual s</w:t>
      </w:r>
      <w:r>
        <w:rPr>
          <w:rFonts w:cs="Times New Roman"/>
          <w:szCs w:val="24"/>
        </w:rPr>
        <w:t xml:space="preserve">ystem. </w:t>
      </w:r>
      <w:r>
        <w:rPr>
          <w:rFonts w:cs="Times New Roman"/>
          <w:i/>
          <w:iCs/>
          <w:szCs w:val="24"/>
        </w:rPr>
        <w:t>Cereb. Cortex</w:t>
      </w:r>
      <w:r>
        <w:rPr>
          <w:rFonts w:cs="Times New Roman"/>
          <w:szCs w:val="24"/>
        </w:rPr>
        <w:t xml:space="preserve"> </w:t>
      </w:r>
      <w:r>
        <w:rPr>
          <w:rFonts w:cs="Times New Roman"/>
          <w:b/>
          <w:bCs/>
          <w:szCs w:val="24"/>
        </w:rPr>
        <w:t>23</w:t>
      </w:r>
      <w:r>
        <w:rPr>
          <w:rFonts w:cs="Times New Roman"/>
          <w:szCs w:val="24"/>
        </w:rPr>
        <w:t>, 210–222. (doi:10.1093/cercor/bhs008)</w:t>
      </w:r>
    </w:p>
    <w:p w:rsidR="00556DE7" w:rsidRDefault="00BA5CBD">
      <w:pPr>
        <w:widowControl w:val="0"/>
        <w:spacing w:line="240" w:lineRule="auto"/>
        <w:ind w:left="640" w:hanging="640"/>
        <w:rPr>
          <w:rFonts w:ascii="Calibri" w:hAnsi="Calibri" w:cs="Times New Roman"/>
          <w:szCs w:val="24"/>
        </w:rPr>
      </w:pPr>
      <w:r>
        <w:rPr>
          <w:rFonts w:cs="Times New Roman"/>
          <w:szCs w:val="24"/>
        </w:rPr>
        <w:t>18.</w:t>
      </w:r>
      <w:r>
        <w:rPr>
          <w:rFonts w:cs="Times New Roman"/>
          <w:szCs w:val="24"/>
        </w:rPr>
        <w:tab/>
        <w:t xml:space="preserve">Niranjan A, Christie IN, Solomon SG, Wells JA, Lythgoe MF. 2016 fMRI mapping of the visual system in the mouse brain with interleaved snapshot GE-EPI. </w:t>
      </w:r>
      <w:r>
        <w:rPr>
          <w:rFonts w:cs="Times New Roman"/>
          <w:i/>
          <w:iCs/>
          <w:szCs w:val="24"/>
        </w:rPr>
        <w:t>Neuroimage</w:t>
      </w:r>
      <w:r>
        <w:rPr>
          <w:rFonts w:cs="Times New Roman"/>
          <w:szCs w:val="24"/>
        </w:rPr>
        <w:t xml:space="preserve"> </w:t>
      </w:r>
      <w:r>
        <w:rPr>
          <w:rFonts w:cs="Times New Roman"/>
          <w:b/>
          <w:bCs/>
          <w:szCs w:val="24"/>
        </w:rPr>
        <w:t>139</w:t>
      </w:r>
      <w:r>
        <w:rPr>
          <w:rFonts w:cs="Times New Roman"/>
          <w:szCs w:val="24"/>
        </w:rPr>
        <w:t>, 337–345. (doi:10.1016/j</w:t>
      </w:r>
      <w:r>
        <w:rPr>
          <w:rFonts w:cs="Times New Roman"/>
          <w:szCs w:val="24"/>
        </w:rPr>
        <w:t>.neuroimage.2016.06.015)</w:t>
      </w:r>
    </w:p>
    <w:p w:rsidR="00556DE7" w:rsidRDefault="00BA5CBD">
      <w:pPr>
        <w:widowControl w:val="0"/>
        <w:spacing w:line="240" w:lineRule="auto"/>
        <w:ind w:left="640" w:hanging="640"/>
        <w:rPr>
          <w:rFonts w:ascii="Calibri" w:hAnsi="Calibri" w:cs="Times New Roman"/>
          <w:szCs w:val="24"/>
        </w:rPr>
      </w:pPr>
      <w:r>
        <w:rPr>
          <w:rFonts w:cs="Times New Roman"/>
          <w:szCs w:val="24"/>
        </w:rPr>
        <w:t>19.</w:t>
      </w:r>
      <w:r>
        <w:rPr>
          <w:rFonts w:cs="Times New Roman"/>
          <w:szCs w:val="24"/>
        </w:rPr>
        <w:tab/>
        <w:t xml:space="preserve">Grigg GC, Cairncross M. 1980 Respiratory properties of the blood of Crocodylus porosus. </w:t>
      </w:r>
      <w:r>
        <w:rPr>
          <w:rFonts w:cs="Times New Roman"/>
          <w:i/>
          <w:iCs/>
          <w:szCs w:val="24"/>
        </w:rPr>
        <w:t>Respir. Physiol.</w:t>
      </w:r>
      <w:r>
        <w:rPr>
          <w:rFonts w:cs="Times New Roman"/>
          <w:szCs w:val="24"/>
        </w:rPr>
        <w:t xml:space="preserve"> </w:t>
      </w:r>
      <w:r>
        <w:rPr>
          <w:rFonts w:cs="Times New Roman"/>
          <w:b/>
          <w:bCs/>
          <w:szCs w:val="24"/>
        </w:rPr>
        <w:t>41</w:t>
      </w:r>
      <w:r>
        <w:rPr>
          <w:rFonts w:cs="Times New Roman"/>
          <w:szCs w:val="24"/>
        </w:rPr>
        <w:t>, 367–380. (doi:10.1016/0034-5687(80)90083-3)</w:t>
      </w:r>
    </w:p>
    <w:p w:rsidR="00556DE7" w:rsidRDefault="00BA5CBD">
      <w:pPr>
        <w:widowControl w:val="0"/>
        <w:spacing w:line="240" w:lineRule="auto"/>
        <w:ind w:left="640" w:hanging="640"/>
        <w:rPr>
          <w:rFonts w:ascii="Calibri" w:hAnsi="Calibri" w:cs="Times New Roman"/>
          <w:szCs w:val="24"/>
        </w:rPr>
      </w:pPr>
      <w:r>
        <w:rPr>
          <w:rFonts w:cs="Times New Roman"/>
          <w:szCs w:val="24"/>
        </w:rPr>
        <w:t>20.</w:t>
      </w:r>
      <w:r>
        <w:rPr>
          <w:rFonts w:cs="Times New Roman"/>
          <w:szCs w:val="24"/>
        </w:rPr>
        <w:tab/>
        <w:t xml:space="preserve">Glass ML, Johansen AK. In press. Periodic Breathing in the Crocodile, </w:t>
      </w:r>
      <w:r>
        <w:rPr>
          <w:rFonts w:cs="Times New Roman"/>
          <w:szCs w:val="24"/>
        </w:rPr>
        <w:t xml:space="preserve">Crocodylus niloticus: Consequences for the Gas Exchange Ratio and Control of Breathing. </w:t>
      </w:r>
    </w:p>
    <w:p w:rsidR="00556DE7" w:rsidRDefault="00BA5CBD">
      <w:pPr>
        <w:widowControl w:val="0"/>
        <w:spacing w:line="240" w:lineRule="auto"/>
        <w:ind w:left="640" w:hanging="640"/>
        <w:rPr>
          <w:rFonts w:ascii="Calibri" w:hAnsi="Calibri" w:cs="Times New Roman"/>
          <w:szCs w:val="24"/>
        </w:rPr>
      </w:pPr>
      <w:r>
        <w:rPr>
          <w:rFonts w:cs="Times New Roman"/>
          <w:szCs w:val="24"/>
        </w:rPr>
        <w:t>21.</w:t>
      </w:r>
      <w:r>
        <w:rPr>
          <w:rFonts w:cs="Times New Roman"/>
          <w:szCs w:val="24"/>
        </w:rPr>
        <w:tab/>
        <w:t xml:space="preserve">Smith EN. 1979 Behavioral and physiological thermoregulation of crocodilians. </w:t>
      </w:r>
      <w:r>
        <w:rPr>
          <w:rFonts w:cs="Times New Roman"/>
          <w:i/>
          <w:iCs/>
          <w:szCs w:val="24"/>
        </w:rPr>
        <w:t>Integr. Comp. Biol.</w:t>
      </w:r>
      <w:r>
        <w:rPr>
          <w:rFonts w:cs="Times New Roman"/>
          <w:szCs w:val="24"/>
        </w:rPr>
        <w:t xml:space="preserve"> </w:t>
      </w:r>
      <w:r>
        <w:rPr>
          <w:rFonts w:cs="Times New Roman"/>
          <w:b/>
          <w:bCs/>
          <w:szCs w:val="24"/>
        </w:rPr>
        <w:t>19</w:t>
      </w:r>
      <w:r>
        <w:rPr>
          <w:rFonts w:cs="Times New Roman"/>
          <w:szCs w:val="24"/>
        </w:rPr>
        <w:t>, 239–247. (doi:10.1093/icb/19.1.239)</w:t>
      </w:r>
    </w:p>
    <w:p w:rsidR="00556DE7" w:rsidRDefault="00BA5CBD">
      <w:pPr>
        <w:widowControl w:val="0"/>
        <w:spacing w:line="240" w:lineRule="auto"/>
        <w:ind w:left="640" w:hanging="640"/>
        <w:rPr>
          <w:rFonts w:ascii="Calibri" w:hAnsi="Calibri" w:cs="Times New Roman"/>
          <w:szCs w:val="24"/>
        </w:rPr>
      </w:pPr>
      <w:r>
        <w:rPr>
          <w:rFonts w:cs="Times New Roman"/>
          <w:szCs w:val="24"/>
        </w:rPr>
        <w:t>22.</w:t>
      </w:r>
      <w:r>
        <w:rPr>
          <w:rFonts w:cs="Times New Roman"/>
          <w:szCs w:val="24"/>
        </w:rPr>
        <w:tab/>
        <w:t>Perry SF. 1988 Functi</w:t>
      </w:r>
      <w:r>
        <w:rPr>
          <w:rFonts w:cs="Times New Roman"/>
          <w:szCs w:val="24"/>
        </w:rPr>
        <w:t xml:space="preserve">onal Morphology of the Lungs of the Nile Crocodile, Crocodylus niloticus: Non-Respiratory Parameters. </w:t>
      </w:r>
      <w:r>
        <w:rPr>
          <w:rFonts w:cs="Times New Roman"/>
          <w:i/>
          <w:iCs/>
          <w:szCs w:val="24"/>
        </w:rPr>
        <w:t>J. Exp. Biol.</w:t>
      </w:r>
      <w:r>
        <w:rPr>
          <w:rFonts w:cs="Times New Roman"/>
          <w:szCs w:val="24"/>
        </w:rPr>
        <w:t xml:space="preserve"> </w:t>
      </w:r>
      <w:r>
        <w:rPr>
          <w:rFonts w:cs="Times New Roman"/>
          <w:b/>
          <w:bCs/>
          <w:szCs w:val="24"/>
        </w:rPr>
        <w:t>117</w:t>
      </w:r>
      <w:r>
        <w:rPr>
          <w:rFonts w:cs="Times New Roman"/>
          <w:szCs w:val="24"/>
        </w:rPr>
        <w:t>, 99–117.</w:t>
      </w:r>
    </w:p>
    <w:p w:rsidR="00556DE7" w:rsidRDefault="00BA5CBD">
      <w:pPr>
        <w:widowControl w:val="0"/>
        <w:spacing w:line="240" w:lineRule="auto"/>
        <w:ind w:left="640" w:hanging="640"/>
        <w:rPr>
          <w:rFonts w:ascii="Calibri" w:hAnsi="Calibri" w:cs="Times New Roman"/>
          <w:szCs w:val="24"/>
        </w:rPr>
      </w:pPr>
      <w:r>
        <w:rPr>
          <w:rFonts w:cs="Times New Roman"/>
          <w:szCs w:val="24"/>
        </w:rPr>
        <w:t>23.</w:t>
      </w:r>
      <w:r>
        <w:rPr>
          <w:rFonts w:cs="Times New Roman"/>
          <w:szCs w:val="24"/>
        </w:rPr>
        <w:tab/>
        <w:t xml:space="preserve">Perry SF. 1990 Gas exchange strategy in the Nile crocodile: a morphometric study. </w:t>
      </w:r>
      <w:r>
        <w:rPr>
          <w:rFonts w:cs="Times New Roman"/>
          <w:i/>
          <w:iCs/>
          <w:szCs w:val="24"/>
        </w:rPr>
        <w:t>J. Comp. Physiol. B</w:t>
      </w:r>
      <w:r>
        <w:rPr>
          <w:rFonts w:cs="Times New Roman"/>
          <w:szCs w:val="24"/>
        </w:rPr>
        <w:t xml:space="preserve"> </w:t>
      </w:r>
      <w:r>
        <w:rPr>
          <w:rFonts w:cs="Times New Roman"/>
          <w:b/>
          <w:bCs/>
          <w:szCs w:val="24"/>
        </w:rPr>
        <w:t>159</w:t>
      </w:r>
      <w:r>
        <w:rPr>
          <w:rFonts w:cs="Times New Roman"/>
          <w:szCs w:val="24"/>
        </w:rPr>
        <w:t>, 761–769. (doi:10</w:t>
      </w:r>
      <w:r>
        <w:rPr>
          <w:rFonts w:cs="Times New Roman"/>
          <w:szCs w:val="24"/>
        </w:rPr>
        <w:t>.1007/BF00691722)</w:t>
      </w:r>
    </w:p>
    <w:p w:rsidR="00556DE7" w:rsidRDefault="00BA5CBD">
      <w:pPr>
        <w:widowControl w:val="0"/>
        <w:spacing w:line="240" w:lineRule="auto"/>
        <w:ind w:left="640" w:hanging="640"/>
        <w:rPr>
          <w:rFonts w:ascii="Calibri" w:hAnsi="Calibri" w:cs="Times New Roman"/>
          <w:szCs w:val="24"/>
        </w:rPr>
      </w:pPr>
      <w:r>
        <w:rPr>
          <w:rFonts w:cs="Times New Roman"/>
          <w:szCs w:val="24"/>
        </w:rPr>
        <w:t>24.</w:t>
      </w:r>
      <w:r>
        <w:rPr>
          <w:rFonts w:cs="Times New Roman"/>
          <w:szCs w:val="24"/>
        </w:rPr>
        <w:tab/>
        <w:t xml:space="preserve">Axelsson M, Franklin C, L&amp;Ouml;Fman C, Nilsson S, Grigg G. 1996 Dynamic anatomical study of cardiac shunting in crocodiles using high-resolution angioscopy. </w:t>
      </w:r>
      <w:r>
        <w:rPr>
          <w:rFonts w:cs="Times New Roman"/>
          <w:i/>
          <w:iCs/>
          <w:szCs w:val="24"/>
        </w:rPr>
        <w:t>J. Exp. Biol.</w:t>
      </w:r>
      <w:r>
        <w:rPr>
          <w:rFonts w:cs="Times New Roman"/>
          <w:szCs w:val="24"/>
        </w:rPr>
        <w:t xml:space="preserve"> </w:t>
      </w:r>
      <w:r>
        <w:rPr>
          <w:rFonts w:cs="Times New Roman"/>
          <w:b/>
          <w:bCs/>
          <w:szCs w:val="24"/>
        </w:rPr>
        <w:t>199</w:t>
      </w:r>
      <w:r>
        <w:rPr>
          <w:rFonts w:cs="Times New Roman"/>
          <w:szCs w:val="24"/>
        </w:rPr>
        <w:t>, 359–65.</w:t>
      </w:r>
    </w:p>
    <w:p w:rsidR="00556DE7" w:rsidRDefault="00BA5CBD">
      <w:pPr>
        <w:widowControl w:val="0"/>
        <w:spacing w:line="240" w:lineRule="auto"/>
        <w:ind w:left="640" w:hanging="640"/>
        <w:rPr>
          <w:rFonts w:ascii="Calibri" w:hAnsi="Calibri" w:cs="Times New Roman"/>
          <w:szCs w:val="24"/>
        </w:rPr>
      </w:pPr>
      <w:r>
        <w:rPr>
          <w:rFonts w:cs="Times New Roman"/>
          <w:szCs w:val="24"/>
        </w:rPr>
        <w:t>25.</w:t>
      </w:r>
      <w:r>
        <w:rPr>
          <w:rFonts w:cs="Times New Roman"/>
          <w:szCs w:val="24"/>
        </w:rPr>
        <w:tab/>
        <w:t xml:space="preserve">Seebacher F, Franklin CE. 2004 Cardiovascular </w:t>
      </w:r>
      <w:r>
        <w:rPr>
          <w:rFonts w:cs="Times New Roman"/>
          <w:szCs w:val="24"/>
        </w:rPr>
        <w:t xml:space="preserve">mechanisms during thermoregulation in reptiles. </w:t>
      </w:r>
      <w:r>
        <w:rPr>
          <w:rFonts w:cs="Times New Roman"/>
          <w:i/>
          <w:iCs/>
          <w:szCs w:val="24"/>
        </w:rPr>
        <w:t>Int. Congr. Ser.</w:t>
      </w:r>
      <w:r>
        <w:rPr>
          <w:rFonts w:cs="Times New Roman"/>
          <w:szCs w:val="24"/>
        </w:rPr>
        <w:t xml:space="preserve"> </w:t>
      </w:r>
      <w:r>
        <w:rPr>
          <w:rFonts w:cs="Times New Roman"/>
          <w:b/>
          <w:bCs/>
          <w:szCs w:val="24"/>
        </w:rPr>
        <w:t>1275</w:t>
      </w:r>
      <w:r>
        <w:rPr>
          <w:rFonts w:cs="Times New Roman"/>
          <w:szCs w:val="24"/>
        </w:rPr>
        <w:t>, 242–249. (doi:10.1016/j.ics.2004.08.050)</w:t>
      </w:r>
    </w:p>
    <w:p w:rsidR="00556DE7" w:rsidRDefault="00BA5CBD">
      <w:pPr>
        <w:widowControl w:val="0"/>
        <w:spacing w:line="240" w:lineRule="auto"/>
        <w:ind w:left="640" w:hanging="640"/>
        <w:rPr>
          <w:rFonts w:ascii="Calibri" w:hAnsi="Calibri" w:cs="Times New Roman"/>
          <w:szCs w:val="24"/>
        </w:rPr>
      </w:pPr>
      <w:r>
        <w:rPr>
          <w:rFonts w:cs="Times New Roman"/>
          <w:szCs w:val="24"/>
        </w:rPr>
        <w:t>26.</w:t>
      </w:r>
      <w:r>
        <w:rPr>
          <w:rFonts w:cs="Times New Roman"/>
          <w:szCs w:val="24"/>
        </w:rPr>
        <w:tab/>
        <w:t xml:space="preserve">Hicks JW. 2002 The Physiological and Evolutionary Significance of Cardiovascular Shunting Patterns in Reptiles. </w:t>
      </w:r>
      <w:r>
        <w:rPr>
          <w:rFonts w:cs="Times New Roman"/>
          <w:i/>
          <w:iCs/>
          <w:szCs w:val="24"/>
        </w:rPr>
        <w:t>Physiology</w:t>
      </w:r>
      <w:r>
        <w:rPr>
          <w:rFonts w:cs="Times New Roman"/>
          <w:szCs w:val="24"/>
        </w:rPr>
        <w:t xml:space="preserve"> </w:t>
      </w:r>
      <w:r>
        <w:rPr>
          <w:rFonts w:cs="Times New Roman"/>
          <w:b/>
          <w:bCs/>
          <w:szCs w:val="24"/>
        </w:rPr>
        <w:t>17</w:t>
      </w:r>
      <w:r>
        <w:rPr>
          <w:rFonts w:cs="Times New Roman"/>
          <w:szCs w:val="24"/>
        </w:rPr>
        <w:t>, 241–245. (doi</w:t>
      </w:r>
      <w:r>
        <w:rPr>
          <w:rFonts w:cs="Times New Roman"/>
          <w:szCs w:val="24"/>
        </w:rPr>
        <w:t>:10.1152/nips.01397.2002)</w:t>
      </w:r>
    </w:p>
    <w:p w:rsidR="00556DE7" w:rsidRDefault="00BA5CBD">
      <w:pPr>
        <w:widowControl w:val="0"/>
        <w:spacing w:line="240" w:lineRule="auto"/>
        <w:ind w:left="640" w:hanging="640"/>
        <w:rPr>
          <w:rFonts w:ascii="Calibri" w:hAnsi="Calibri" w:cs="Times New Roman"/>
          <w:szCs w:val="24"/>
        </w:rPr>
      </w:pPr>
      <w:r>
        <w:rPr>
          <w:rFonts w:cs="Times New Roman"/>
          <w:szCs w:val="24"/>
        </w:rPr>
        <w:t>27.</w:t>
      </w:r>
      <w:r>
        <w:rPr>
          <w:rFonts w:cs="Times New Roman"/>
          <w:szCs w:val="24"/>
        </w:rPr>
        <w:tab/>
        <w:t xml:space="preserve">Bauers C, Forster M, Gros G, Mosca A, Perrella M, Rollema HS, Vogel D. 1981 Analysis of Bicarbonate Binding to Crocodilian Hemoglobin*. </w:t>
      </w:r>
      <w:r>
        <w:rPr>
          <w:rFonts w:cs="Times New Roman"/>
          <w:i/>
          <w:iCs/>
          <w:szCs w:val="24"/>
        </w:rPr>
        <w:t>J. B~OLOOICAL Chem.</w:t>
      </w:r>
      <w:r>
        <w:rPr>
          <w:rFonts w:cs="Times New Roman"/>
          <w:szCs w:val="24"/>
        </w:rPr>
        <w:t xml:space="preserve"> </w:t>
      </w:r>
      <w:r>
        <w:rPr>
          <w:rFonts w:cs="Times New Roman"/>
          <w:b/>
          <w:bCs/>
          <w:szCs w:val="24"/>
        </w:rPr>
        <w:t>256</w:t>
      </w:r>
      <w:r>
        <w:rPr>
          <w:rFonts w:cs="Times New Roman"/>
          <w:szCs w:val="24"/>
        </w:rPr>
        <w:t>, 8429–8435.</w:t>
      </w:r>
    </w:p>
    <w:p w:rsidR="00556DE7" w:rsidRDefault="00BA5CBD">
      <w:pPr>
        <w:widowControl w:val="0"/>
        <w:spacing w:line="240" w:lineRule="auto"/>
        <w:ind w:left="640" w:hanging="640"/>
        <w:rPr>
          <w:rFonts w:ascii="Calibri" w:hAnsi="Calibri" w:cs="Times New Roman"/>
          <w:szCs w:val="24"/>
        </w:rPr>
      </w:pPr>
      <w:r>
        <w:rPr>
          <w:rFonts w:cs="Times New Roman"/>
          <w:szCs w:val="24"/>
        </w:rPr>
        <w:lastRenderedPageBreak/>
        <w:t>28.</w:t>
      </w:r>
      <w:r>
        <w:rPr>
          <w:rFonts w:cs="Times New Roman"/>
          <w:szCs w:val="24"/>
        </w:rPr>
        <w:tab/>
      </w:r>
      <w:r>
        <w:rPr>
          <w:rFonts w:cs="Times New Roman"/>
          <w:szCs w:val="24"/>
        </w:rPr>
        <w:t xml:space="preserve">Brittain T, Wellst RM. 1991 AN INVESTIGATION OF THE CO-OPERATIVE FUNCTIONING OF THE HAEMOGLOBIN OF THE CROCODILE, CROCOD YLUS POROSUS. </w:t>
      </w:r>
      <w:r>
        <w:rPr>
          <w:rFonts w:cs="Times New Roman"/>
          <w:i/>
          <w:iCs/>
          <w:szCs w:val="24"/>
        </w:rPr>
        <w:t>Biochem. PhysioL</w:t>
      </w:r>
      <w:r>
        <w:rPr>
          <w:rFonts w:cs="Times New Roman"/>
          <w:szCs w:val="24"/>
        </w:rPr>
        <w:t xml:space="preserve"> </w:t>
      </w:r>
      <w:r>
        <w:rPr>
          <w:rFonts w:cs="Times New Roman"/>
          <w:b/>
          <w:bCs/>
          <w:szCs w:val="24"/>
        </w:rPr>
        <w:t>98</w:t>
      </w:r>
      <w:r>
        <w:rPr>
          <w:rFonts w:cs="Times New Roman"/>
          <w:szCs w:val="24"/>
        </w:rPr>
        <w:t>, 641–646.</w:t>
      </w:r>
    </w:p>
    <w:p w:rsidR="00556DE7" w:rsidRDefault="00BA5CBD">
      <w:pPr>
        <w:widowControl w:val="0"/>
        <w:spacing w:line="240" w:lineRule="auto"/>
        <w:ind w:left="640" w:hanging="640"/>
        <w:rPr>
          <w:rFonts w:ascii="Calibri" w:hAnsi="Calibri" w:cs="Times New Roman"/>
          <w:szCs w:val="24"/>
        </w:rPr>
      </w:pPr>
      <w:r>
        <w:rPr>
          <w:rFonts w:cs="Times New Roman"/>
          <w:szCs w:val="24"/>
        </w:rPr>
        <w:t>29.</w:t>
      </w:r>
      <w:r>
        <w:rPr>
          <w:rFonts w:cs="Times New Roman"/>
          <w:szCs w:val="24"/>
        </w:rPr>
        <w:tab/>
        <w:t>Wells RMG, Beard LA, Grigg GC. 1991 BLOOD VISCOSITY AND HEMATOCRIT ESTUARINE CROCODILE,</w:t>
      </w:r>
      <w:r>
        <w:rPr>
          <w:rFonts w:cs="Times New Roman"/>
          <w:szCs w:val="24"/>
        </w:rPr>
        <w:t xml:space="preserve"> CROWD YLUS. </w:t>
      </w:r>
      <w:r>
        <w:rPr>
          <w:rFonts w:cs="Times New Roman"/>
          <w:i/>
          <w:iCs/>
          <w:szCs w:val="24"/>
        </w:rPr>
        <w:t>Camp. B&amp;hem. Physiol</w:t>
      </w:r>
      <w:r>
        <w:rPr>
          <w:rFonts w:cs="Times New Roman"/>
          <w:szCs w:val="24"/>
        </w:rPr>
        <w:t xml:space="preserve"> </w:t>
      </w:r>
      <w:r>
        <w:rPr>
          <w:rFonts w:cs="Times New Roman"/>
          <w:b/>
          <w:bCs/>
          <w:szCs w:val="24"/>
        </w:rPr>
        <w:t>99</w:t>
      </w:r>
      <w:r>
        <w:rPr>
          <w:rFonts w:cs="Times New Roman"/>
          <w:szCs w:val="24"/>
        </w:rPr>
        <w:t>, 41–414.</w:t>
      </w:r>
    </w:p>
    <w:p w:rsidR="00556DE7" w:rsidRDefault="00BA5CBD">
      <w:pPr>
        <w:widowControl w:val="0"/>
        <w:spacing w:line="240" w:lineRule="auto"/>
        <w:ind w:left="640" w:hanging="640"/>
        <w:rPr>
          <w:rFonts w:ascii="Calibri" w:hAnsi="Calibri" w:cs="Times New Roman"/>
          <w:szCs w:val="24"/>
        </w:rPr>
      </w:pPr>
      <w:r>
        <w:rPr>
          <w:rFonts w:cs="Times New Roman"/>
          <w:szCs w:val="24"/>
        </w:rPr>
        <w:t>30.</w:t>
      </w:r>
      <w:r>
        <w:rPr>
          <w:rFonts w:cs="Times New Roman"/>
          <w:szCs w:val="24"/>
        </w:rPr>
        <w:tab/>
        <w:t xml:space="preserve">Hellmann B, Güntürkün O. 1999 Visual-field-specific heterogeneity within the tecto-rotundal projection of the pigeon. </w:t>
      </w:r>
      <w:r>
        <w:rPr>
          <w:rFonts w:cs="Times New Roman"/>
          <w:i/>
          <w:iCs/>
          <w:szCs w:val="24"/>
        </w:rPr>
        <w:t>Eur. J. Neurosci.</w:t>
      </w:r>
      <w:r>
        <w:rPr>
          <w:rFonts w:cs="Times New Roman"/>
          <w:szCs w:val="24"/>
        </w:rPr>
        <w:t xml:space="preserve"> </w:t>
      </w:r>
      <w:r>
        <w:rPr>
          <w:rFonts w:cs="Times New Roman"/>
          <w:b/>
          <w:bCs/>
          <w:szCs w:val="24"/>
        </w:rPr>
        <w:t>11</w:t>
      </w:r>
      <w:r>
        <w:rPr>
          <w:rFonts w:cs="Times New Roman"/>
          <w:szCs w:val="24"/>
        </w:rPr>
        <w:t>, 2635–2650. (doi:10.1046/j.1460-9568.1999.00681.x)</w:t>
      </w:r>
    </w:p>
    <w:p w:rsidR="00556DE7" w:rsidRDefault="00BA5CBD">
      <w:pPr>
        <w:widowControl w:val="0"/>
        <w:spacing w:line="240" w:lineRule="auto"/>
        <w:ind w:left="640" w:hanging="640"/>
        <w:rPr>
          <w:rFonts w:ascii="Calibri" w:hAnsi="Calibri" w:cs="Times New Roman"/>
          <w:szCs w:val="24"/>
        </w:rPr>
      </w:pPr>
      <w:r>
        <w:rPr>
          <w:rFonts w:cs="Times New Roman"/>
          <w:szCs w:val="24"/>
        </w:rPr>
        <w:t>31.</w:t>
      </w:r>
      <w:r>
        <w:rPr>
          <w:rFonts w:cs="Times New Roman"/>
          <w:szCs w:val="24"/>
        </w:rPr>
        <w:tab/>
        <w:t xml:space="preserve">Naumann RK, </w:t>
      </w:r>
      <w:r>
        <w:rPr>
          <w:rFonts w:cs="Times New Roman"/>
          <w:szCs w:val="24"/>
        </w:rPr>
        <w:t xml:space="preserve">Laurent G. 2017 1.25 – Function and Evolution of the Reptilian Cerebral Cortex. In </w:t>
      </w:r>
      <w:r>
        <w:rPr>
          <w:rFonts w:cs="Times New Roman"/>
          <w:i/>
          <w:iCs/>
          <w:szCs w:val="24"/>
        </w:rPr>
        <w:t>Evolution of Nervous Systems</w:t>
      </w:r>
      <w:r>
        <w:rPr>
          <w:rFonts w:cs="Times New Roman"/>
          <w:szCs w:val="24"/>
        </w:rPr>
        <w:t>, pp. 491–518. Elsevier. (doi:10.1016/B978-0-12-804042-3.00022-1)</w:t>
      </w:r>
    </w:p>
    <w:p w:rsidR="00556DE7" w:rsidRDefault="00BA5CBD">
      <w:pPr>
        <w:widowControl w:val="0"/>
        <w:spacing w:line="240" w:lineRule="auto"/>
        <w:ind w:left="640" w:hanging="640"/>
        <w:rPr>
          <w:rFonts w:ascii="Calibri" w:hAnsi="Calibri" w:cs="Times New Roman"/>
          <w:szCs w:val="24"/>
        </w:rPr>
      </w:pPr>
      <w:r>
        <w:rPr>
          <w:rFonts w:cs="Times New Roman"/>
          <w:szCs w:val="24"/>
        </w:rPr>
        <w:t>32.</w:t>
      </w:r>
      <w:r>
        <w:rPr>
          <w:rFonts w:cs="Times New Roman"/>
          <w:szCs w:val="24"/>
        </w:rPr>
        <w:tab/>
        <w:t xml:space="preserve">Fournier J, Müller CM, Schneider I, Laurent G. 2018 Spatial Information in </w:t>
      </w:r>
      <w:r>
        <w:rPr>
          <w:rFonts w:cs="Times New Roman"/>
          <w:szCs w:val="24"/>
        </w:rPr>
        <w:t xml:space="preserve">a Non-retinotopic Visual Cortex. </w:t>
      </w:r>
      <w:r>
        <w:rPr>
          <w:rFonts w:cs="Times New Roman"/>
          <w:i/>
          <w:iCs/>
          <w:szCs w:val="24"/>
        </w:rPr>
        <w:t>Neuron</w:t>
      </w:r>
      <w:r>
        <w:rPr>
          <w:rFonts w:cs="Times New Roman"/>
          <w:szCs w:val="24"/>
        </w:rPr>
        <w:t xml:space="preserve"> </w:t>
      </w:r>
      <w:r>
        <w:rPr>
          <w:rFonts w:cs="Times New Roman"/>
          <w:b/>
          <w:bCs/>
          <w:szCs w:val="24"/>
        </w:rPr>
        <w:t>97</w:t>
      </w:r>
      <w:r>
        <w:rPr>
          <w:rFonts w:cs="Times New Roman"/>
          <w:szCs w:val="24"/>
        </w:rPr>
        <w:t>, 164–180.e7. (doi:10.1016/j.neuron.2017.11.017)</w:t>
      </w:r>
    </w:p>
    <w:p w:rsidR="00556DE7" w:rsidRDefault="00BA5CBD">
      <w:pPr>
        <w:widowControl w:val="0"/>
        <w:spacing w:line="240" w:lineRule="auto"/>
        <w:ind w:left="640" w:hanging="640"/>
        <w:rPr>
          <w:rFonts w:ascii="Calibri" w:hAnsi="Calibri" w:cs="Times New Roman"/>
          <w:szCs w:val="24"/>
        </w:rPr>
      </w:pPr>
      <w:r>
        <w:rPr>
          <w:rFonts w:cs="Times New Roman"/>
          <w:szCs w:val="24"/>
        </w:rPr>
        <w:t>33.</w:t>
      </w:r>
      <w:r>
        <w:rPr>
          <w:rFonts w:cs="Times New Roman"/>
          <w:szCs w:val="24"/>
        </w:rPr>
        <w:tab/>
        <w:t>Triantafyllou C, Hoge RD, Krueger G, Wiggins CJ, Potthast A, Wiggins GC, Wald LL. 2005 Comparison of physiological noise at 1.5 T, 3 T and 7 T and optimization o</w:t>
      </w:r>
      <w:r>
        <w:rPr>
          <w:rFonts w:cs="Times New Roman"/>
          <w:szCs w:val="24"/>
        </w:rPr>
        <w:t xml:space="preserve">f fMRI acquisition parameters. </w:t>
      </w:r>
      <w:r>
        <w:rPr>
          <w:rFonts w:cs="Times New Roman"/>
          <w:i/>
          <w:iCs/>
          <w:szCs w:val="24"/>
        </w:rPr>
        <w:t>Neuroimage</w:t>
      </w:r>
      <w:r>
        <w:rPr>
          <w:rFonts w:cs="Times New Roman"/>
          <w:szCs w:val="24"/>
        </w:rPr>
        <w:t xml:space="preserve"> </w:t>
      </w:r>
      <w:r>
        <w:rPr>
          <w:rFonts w:cs="Times New Roman"/>
          <w:b/>
          <w:bCs/>
          <w:szCs w:val="24"/>
        </w:rPr>
        <w:t>26</w:t>
      </w:r>
      <w:r>
        <w:rPr>
          <w:rFonts w:cs="Times New Roman"/>
          <w:szCs w:val="24"/>
        </w:rPr>
        <w:t>, 243–250. (doi:10.1016/j.neuroimage.2005.01.007)</w:t>
      </w:r>
    </w:p>
    <w:p w:rsidR="00556DE7" w:rsidRDefault="00BA5CBD">
      <w:pPr>
        <w:widowControl w:val="0"/>
        <w:spacing w:line="240" w:lineRule="auto"/>
        <w:ind w:left="640" w:hanging="640"/>
        <w:rPr>
          <w:rFonts w:ascii="Calibri" w:hAnsi="Calibri" w:cs="Times New Roman"/>
          <w:szCs w:val="24"/>
        </w:rPr>
      </w:pPr>
      <w:r>
        <w:rPr>
          <w:rFonts w:cs="Times New Roman"/>
          <w:szCs w:val="24"/>
        </w:rPr>
        <w:t>34.</w:t>
      </w:r>
      <w:r>
        <w:rPr>
          <w:rFonts w:cs="Times New Roman"/>
          <w:szCs w:val="24"/>
        </w:rPr>
        <w:tab/>
        <w:t xml:space="preserve">Gorno-Tempini ML, Hutton C, Josephs O, Deichmann R, Price C, Turner R. 2002 Echo time dependence of BOLD contrast and susceptibility artifacts. </w:t>
      </w:r>
      <w:r>
        <w:rPr>
          <w:rFonts w:cs="Times New Roman"/>
          <w:i/>
          <w:iCs/>
          <w:szCs w:val="24"/>
        </w:rPr>
        <w:t>Neuroimage</w:t>
      </w:r>
      <w:r>
        <w:rPr>
          <w:rFonts w:cs="Times New Roman"/>
          <w:szCs w:val="24"/>
        </w:rPr>
        <w:t xml:space="preserve"> </w:t>
      </w:r>
      <w:r>
        <w:rPr>
          <w:rFonts w:cs="Times New Roman"/>
          <w:b/>
          <w:bCs/>
          <w:szCs w:val="24"/>
        </w:rPr>
        <w:t>15</w:t>
      </w:r>
      <w:r>
        <w:rPr>
          <w:rFonts w:cs="Times New Roman"/>
          <w:szCs w:val="24"/>
        </w:rPr>
        <w:t>,</w:t>
      </w:r>
      <w:r>
        <w:rPr>
          <w:rFonts w:cs="Times New Roman"/>
          <w:szCs w:val="24"/>
        </w:rPr>
        <w:t xml:space="preserve"> 136–42. (doi:10.1006/nimg.2001.0967)</w:t>
      </w:r>
    </w:p>
    <w:p w:rsidR="00556DE7" w:rsidRDefault="00BA5CBD">
      <w:pPr>
        <w:widowControl w:val="0"/>
        <w:spacing w:line="240" w:lineRule="auto"/>
        <w:ind w:left="640" w:hanging="640"/>
        <w:rPr>
          <w:rFonts w:ascii="Calibri" w:hAnsi="Calibri" w:cs="Times New Roman"/>
          <w:szCs w:val="24"/>
        </w:rPr>
      </w:pPr>
      <w:r>
        <w:rPr>
          <w:rFonts w:cs="Times New Roman"/>
          <w:szCs w:val="24"/>
        </w:rPr>
        <w:t>35.</w:t>
      </w:r>
      <w:r>
        <w:rPr>
          <w:rFonts w:cs="Times New Roman"/>
          <w:szCs w:val="24"/>
        </w:rPr>
        <w:tab/>
        <w:t xml:space="preserve">Bruce LL. 2007 Evolution of Nervous Systems in Reptiles. </w:t>
      </w:r>
      <w:r>
        <w:rPr>
          <w:rFonts w:cs="Times New Roman"/>
          <w:i/>
          <w:iCs/>
          <w:szCs w:val="24"/>
        </w:rPr>
        <w:t>Evol. Nerv. Syst.</w:t>
      </w:r>
      <w:r>
        <w:rPr>
          <w:rFonts w:cs="Times New Roman"/>
          <w:szCs w:val="24"/>
        </w:rPr>
        <w:t xml:space="preserve"> , 125–156. (doi:10.1016/B0-12-370878-8/00130-0)</w:t>
      </w:r>
    </w:p>
    <w:p w:rsidR="00556DE7" w:rsidRDefault="00BA5CBD">
      <w:pPr>
        <w:widowControl w:val="0"/>
        <w:spacing w:line="240" w:lineRule="auto"/>
        <w:ind w:left="640" w:hanging="640"/>
        <w:rPr>
          <w:rFonts w:ascii="Calibri" w:hAnsi="Calibri" w:cs="Times New Roman"/>
          <w:szCs w:val="24"/>
        </w:rPr>
      </w:pPr>
      <w:r>
        <w:rPr>
          <w:rFonts w:cs="Times New Roman"/>
          <w:szCs w:val="24"/>
        </w:rPr>
        <w:t>36.</w:t>
      </w:r>
      <w:r>
        <w:rPr>
          <w:rFonts w:cs="Times New Roman"/>
          <w:szCs w:val="24"/>
        </w:rPr>
        <w:tab/>
        <w:t>Derobert Y, Médina M, Rio JP, Ward R, Repérant J, Marchand MJ, Miceli D. 1999 Retinal p</w:t>
      </w:r>
      <w:r>
        <w:rPr>
          <w:rFonts w:cs="Times New Roman"/>
          <w:szCs w:val="24"/>
        </w:rPr>
        <w:t xml:space="preserve">rojections in two crocodilian species, Caiman crocodilus and Crocodylus niloticus. </w:t>
      </w:r>
      <w:r>
        <w:rPr>
          <w:rFonts w:cs="Times New Roman"/>
          <w:i/>
          <w:iCs/>
          <w:szCs w:val="24"/>
        </w:rPr>
        <w:t>Anat. Embryol. (Berl).</w:t>
      </w:r>
      <w:r>
        <w:rPr>
          <w:rFonts w:cs="Times New Roman"/>
          <w:szCs w:val="24"/>
        </w:rPr>
        <w:t xml:space="preserve"> </w:t>
      </w:r>
      <w:r>
        <w:rPr>
          <w:rFonts w:cs="Times New Roman"/>
          <w:b/>
          <w:bCs/>
          <w:szCs w:val="24"/>
        </w:rPr>
        <w:t>200</w:t>
      </w:r>
      <w:r>
        <w:rPr>
          <w:rFonts w:cs="Times New Roman"/>
          <w:szCs w:val="24"/>
        </w:rPr>
        <w:t>, 175–191. (doi:10.1007/s004290050271)</w:t>
      </w:r>
    </w:p>
    <w:p w:rsidR="00556DE7" w:rsidRDefault="00BA5CBD">
      <w:pPr>
        <w:widowControl w:val="0"/>
        <w:spacing w:line="240" w:lineRule="auto"/>
        <w:ind w:left="640" w:hanging="640"/>
        <w:rPr>
          <w:rFonts w:ascii="Calibri" w:hAnsi="Calibri"/>
        </w:rPr>
      </w:pPr>
      <w:r>
        <w:rPr>
          <w:rFonts w:cs="Times New Roman"/>
          <w:szCs w:val="24"/>
        </w:rPr>
        <w:t>37.</w:t>
      </w:r>
      <w:r>
        <w:rPr>
          <w:rFonts w:cs="Times New Roman"/>
          <w:szCs w:val="24"/>
        </w:rPr>
        <w:tab/>
        <w:t xml:space="preserve">Güntürkün O, Stacho M, Ströckens F. 2017 The Brains of Reptiles and Birds. In </w:t>
      </w:r>
      <w:r>
        <w:rPr>
          <w:rFonts w:cs="Times New Roman"/>
          <w:i/>
          <w:iCs/>
          <w:szCs w:val="24"/>
        </w:rPr>
        <w:t>Evolution of Nervous Syste</w:t>
      </w:r>
      <w:r>
        <w:rPr>
          <w:rFonts w:cs="Times New Roman"/>
          <w:i/>
          <w:iCs/>
          <w:szCs w:val="24"/>
        </w:rPr>
        <w:t>ms</w:t>
      </w:r>
      <w:r>
        <w:rPr>
          <w:rFonts w:cs="Times New Roman"/>
          <w:szCs w:val="24"/>
        </w:rPr>
        <w:t>, pp. 171–221. Elsevier. (doi:10.1016/B978-0-12-804042-3.00007-5)</w:t>
      </w:r>
    </w:p>
    <w:p w:rsidR="00556DE7" w:rsidRDefault="00556DE7">
      <w:pPr>
        <w:widowControl w:val="0"/>
        <w:spacing w:line="240" w:lineRule="auto"/>
        <w:ind w:left="640" w:hanging="640"/>
      </w:pPr>
    </w:p>
    <w:p w:rsidR="00BA5CBD" w:rsidRDefault="00BA5CBD">
      <w:pPr>
        <w:widowControl w:val="0"/>
        <w:spacing w:line="240" w:lineRule="auto"/>
        <w:ind w:left="640" w:hanging="640"/>
      </w:pPr>
    </w:p>
    <w:p w:rsidR="00BA5CBD" w:rsidRDefault="00BA5CBD">
      <w:pPr>
        <w:widowControl w:val="0"/>
        <w:spacing w:line="240" w:lineRule="auto"/>
        <w:ind w:left="640" w:hanging="640"/>
      </w:pPr>
    </w:p>
    <w:p w:rsidR="00BA5CBD" w:rsidRDefault="00BA5CBD">
      <w:pPr>
        <w:widowControl w:val="0"/>
        <w:spacing w:line="240" w:lineRule="auto"/>
        <w:ind w:left="640" w:hanging="640"/>
      </w:pPr>
    </w:p>
    <w:p w:rsidR="00BA5CBD" w:rsidRDefault="00BA5CBD">
      <w:pPr>
        <w:widowControl w:val="0"/>
        <w:spacing w:line="240" w:lineRule="auto"/>
        <w:ind w:left="640" w:hanging="640"/>
      </w:pPr>
    </w:p>
    <w:p w:rsidR="00BA5CBD" w:rsidRDefault="00BA5CBD">
      <w:pPr>
        <w:widowControl w:val="0"/>
        <w:spacing w:line="240" w:lineRule="auto"/>
        <w:ind w:left="640" w:hanging="640"/>
      </w:pPr>
    </w:p>
    <w:p w:rsidR="00BA5CBD" w:rsidRDefault="00BA5CBD">
      <w:pPr>
        <w:widowControl w:val="0"/>
        <w:spacing w:line="240" w:lineRule="auto"/>
        <w:ind w:left="640" w:hanging="640"/>
      </w:pPr>
    </w:p>
    <w:p w:rsidR="00BA5CBD" w:rsidRDefault="00BA5CBD">
      <w:pPr>
        <w:widowControl w:val="0"/>
        <w:spacing w:line="240" w:lineRule="auto"/>
        <w:ind w:left="640" w:hanging="640"/>
      </w:pPr>
    </w:p>
    <w:p w:rsidR="00BA5CBD" w:rsidRDefault="00BA5CBD">
      <w:pPr>
        <w:widowControl w:val="0"/>
        <w:spacing w:line="240" w:lineRule="auto"/>
        <w:ind w:left="640" w:hanging="640"/>
      </w:pPr>
    </w:p>
    <w:p w:rsidR="00BA5CBD" w:rsidRDefault="00BA5CBD">
      <w:pPr>
        <w:widowControl w:val="0"/>
        <w:spacing w:line="240" w:lineRule="auto"/>
        <w:ind w:left="640" w:hanging="640"/>
      </w:pPr>
    </w:p>
    <w:p w:rsidR="00BA5CBD" w:rsidRDefault="00BA5CBD">
      <w:pPr>
        <w:widowControl w:val="0"/>
        <w:spacing w:line="240" w:lineRule="auto"/>
        <w:ind w:left="640" w:hanging="640"/>
      </w:pPr>
    </w:p>
    <w:p w:rsidR="00556DE7" w:rsidRDefault="00BA5CBD">
      <w:pPr>
        <w:jc w:val="both"/>
        <w:rPr>
          <w:rFonts w:asciiTheme="minorBidi" w:hAnsiTheme="minorBidi"/>
          <w:b/>
          <w:bCs/>
        </w:rPr>
      </w:pPr>
      <w:r>
        <w:rPr>
          <w:rFonts w:asciiTheme="minorBidi" w:hAnsiTheme="minorBidi"/>
          <w:b/>
          <w:bCs/>
        </w:rPr>
        <w:lastRenderedPageBreak/>
        <w:t>Supporting figures</w:t>
      </w:r>
    </w:p>
    <w:p w:rsidR="00556DE7" w:rsidRDefault="00BA5CBD">
      <w:pPr>
        <w:keepNext/>
        <w:jc w:val="both"/>
      </w:pPr>
      <w:r>
        <w:rPr>
          <w:noProof/>
          <w:lang w:val="de-DE" w:eastAsia="de-DE"/>
        </w:rPr>
        <w:drawing>
          <wp:inline distT="0" distB="0" distL="0" distR="0">
            <wp:extent cx="5943600" cy="5135245"/>
            <wp:effectExtent l="0" t="0" r="0" b="0"/>
            <wp:docPr id="1" name="Picture 3" descr="R:\Mehdi_PhD\Projects\Running Projects\Crocodile\text\Figures\Figure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R:\Mehdi_PhD\Projects\Running Projects\Crocodile\text\Figures\FigureS2.tif"/>
                    <pic:cNvPicPr>
                      <a:picLocks noChangeAspect="1" noChangeArrowheads="1"/>
                    </pic:cNvPicPr>
                  </pic:nvPicPr>
                  <pic:blipFill>
                    <a:blip r:embed="rId4"/>
                    <a:stretch>
                      <a:fillRect/>
                    </a:stretch>
                  </pic:blipFill>
                  <pic:spPr bwMode="auto">
                    <a:xfrm>
                      <a:off x="0" y="0"/>
                      <a:ext cx="5943600" cy="5135245"/>
                    </a:xfrm>
                    <a:prstGeom prst="rect">
                      <a:avLst/>
                    </a:prstGeom>
                  </pic:spPr>
                </pic:pic>
              </a:graphicData>
            </a:graphic>
          </wp:inline>
        </w:drawing>
      </w:r>
    </w:p>
    <w:p w:rsidR="00556DE7" w:rsidRDefault="00BA5CBD">
      <w:pPr>
        <w:jc w:val="both"/>
      </w:pPr>
      <w:r>
        <w:rPr>
          <w:b/>
          <w:bCs/>
        </w:rPr>
        <w:t>Figure S01-</w:t>
      </w:r>
      <w:r>
        <w:t xml:space="preserve"> Assessment of data quality. (a) Representative anatomical images and (b) GE-EPI images from</w:t>
      </w:r>
      <w:r w:rsidR="007D0505">
        <w:t xml:space="preserve"> a</w:t>
      </w:r>
      <w:r>
        <w:t xml:space="preserve"> single subject. Furthermore, (c) </w:t>
      </w:r>
      <w:r>
        <w:t>m</w:t>
      </w:r>
      <w:r>
        <w:t xml:space="preserve">aps of SNR, (d) tSNR, and (e) SNS of resting state </w:t>
      </w:r>
      <w:r>
        <w:t xml:space="preserve">data </w:t>
      </w:r>
      <w:r w:rsidR="007D0505">
        <w:t xml:space="preserve">were </w:t>
      </w:r>
      <w:r>
        <w:t xml:space="preserve">acquired using </w:t>
      </w:r>
      <w:r>
        <w:t xml:space="preserve">the same </w:t>
      </w:r>
      <w:r>
        <w:t>single shot- GE-EPI sequence</w:t>
      </w:r>
      <w:r>
        <w:t xml:space="preserve"> as for task-fmri</w:t>
      </w:r>
      <w:r>
        <w:t xml:space="preserve">. </w:t>
      </w:r>
      <w:r>
        <w:t xml:space="preserve">Images </w:t>
      </w:r>
      <w:r>
        <w:t>were processed in the same way as the task based data except that linear detrending and high-pass filtering (f&gt;0.005) wer</w:t>
      </w:r>
      <w:r>
        <w:t>e done using the REST toolbox in MATLAB</w:t>
      </w:r>
      <w:r w:rsidR="007D0505">
        <w:t>.</w:t>
      </w:r>
      <w:r>
        <w:t xml:space="preserve"> </w:t>
      </w:r>
      <w:r w:rsidR="007D0505">
        <w:t xml:space="preserve">The </w:t>
      </w:r>
      <w:r>
        <w:t>SNS map demonstrate</w:t>
      </w:r>
      <w:r w:rsidR="007D0505">
        <w:t>d</w:t>
      </w:r>
      <w:r>
        <w:t xml:space="preserve"> no correlation between</w:t>
      </w:r>
      <w:r w:rsidR="007D0505">
        <w:t xml:space="preserve"> the</w:t>
      </w:r>
      <w:r>
        <w:t xml:space="preserve"> time course of </w:t>
      </w:r>
      <w:r w:rsidR="007D0505">
        <w:t xml:space="preserve">the </w:t>
      </w:r>
      <w:r>
        <w:t>background noise</w:t>
      </w:r>
      <w:r>
        <w:t xml:space="preserve"> ROI</w:t>
      </w:r>
      <w:r>
        <w:t xml:space="preserve"> and </w:t>
      </w:r>
      <w:r w:rsidR="007D0505">
        <w:t xml:space="preserve">the </w:t>
      </w:r>
      <w:r>
        <w:t>tim</w:t>
      </w:r>
      <w:r>
        <w:t>e course of single voxels within the brain.</w:t>
      </w:r>
    </w:p>
    <w:p w:rsidR="00556DE7" w:rsidRDefault="00556DE7">
      <w:pPr>
        <w:jc w:val="both"/>
      </w:pPr>
    </w:p>
    <w:p w:rsidR="00BA5CBD" w:rsidRDefault="00BA5CBD">
      <w:pPr>
        <w:jc w:val="both"/>
      </w:pPr>
    </w:p>
    <w:p w:rsidR="00556DE7" w:rsidRDefault="00BA5CBD">
      <w:pPr>
        <w:jc w:val="both"/>
        <w:rPr>
          <w:rFonts w:asciiTheme="minorBidi" w:hAnsiTheme="minorBidi"/>
        </w:rPr>
      </w:pPr>
      <w:r>
        <w:rPr>
          <w:noProof/>
          <w:lang w:val="de-DE" w:eastAsia="de-DE"/>
        </w:rPr>
        <w:lastRenderedPageBreak/>
        <w:drawing>
          <wp:inline distT="0" distB="1270" distL="0" distR="0">
            <wp:extent cx="5943600" cy="1579880"/>
            <wp:effectExtent l="0" t="0" r="0" b="0"/>
            <wp:docPr id="2" name="Picture 1" descr="R:\Mehdi_PhD\Projects\Running Projects\Crocodile_fMRI\text\Figures\Figure_S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R:\Mehdi_PhD\Projects\Running Projects\Crocodile_fMRI\text\Figures\Figure_S02.tif"/>
                    <pic:cNvPicPr>
                      <a:picLocks noChangeAspect="1" noChangeArrowheads="1"/>
                    </pic:cNvPicPr>
                  </pic:nvPicPr>
                  <pic:blipFill>
                    <a:blip r:embed="rId5"/>
                    <a:stretch>
                      <a:fillRect/>
                    </a:stretch>
                  </pic:blipFill>
                  <pic:spPr bwMode="auto">
                    <a:xfrm>
                      <a:off x="0" y="0"/>
                      <a:ext cx="5943600" cy="1579880"/>
                    </a:xfrm>
                    <a:prstGeom prst="rect">
                      <a:avLst/>
                    </a:prstGeom>
                  </pic:spPr>
                </pic:pic>
              </a:graphicData>
            </a:graphic>
          </wp:inline>
        </w:drawing>
      </w:r>
    </w:p>
    <w:p w:rsidR="00556DE7" w:rsidRDefault="00BA5CBD">
      <w:pPr>
        <w:jc w:val="both"/>
      </w:pPr>
      <w:r>
        <w:rPr>
          <w:b/>
          <w:bCs/>
        </w:rPr>
        <w:t>Figure S02-</w:t>
      </w:r>
      <w:r>
        <w:t xml:space="preserve"> T1 and T2 relaxometry map</w:t>
      </w:r>
      <w:r w:rsidR="00F61FF7">
        <w:t>s</w:t>
      </w:r>
      <w:r>
        <w:t xml:space="preserve"> of the Nile crocodile brain. (a) A</w:t>
      </w:r>
      <w:r>
        <w:t xml:space="preserve"> coronal image (left) acquired with the RARE sequence at 7T to indicate relevant ROIs.</w:t>
      </w:r>
      <w:r w:rsidR="00F61FF7">
        <w:t xml:space="preserve"> Furthermore,</w:t>
      </w:r>
      <w:r>
        <w:t xml:space="preserve"> T1 (middle) and T2 relaxation maps (right) are de</w:t>
      </w:r>
      <w:r>
        <w:t>picted. Note the almost absent separation between gray and white matter in the forebrain. The selected ROIs were anterior dorsal ventricular ridge (ADVR), nucleus dorsomedialis anterior (Dma), general/dorsal cortex (DC), Hippocampus (Hipp), Hypothalamus (H</w:t>
      </w:r>
      <w:r>
        <w:t>yp), posterior dorsal ventricular ridge (PDVR), Nucleus rotundus (Rt) and Ventricle (V). T1 relaxation times in these regions were (ADVR) 1.90±0.07, (Dma) 1.72±0.09, (DC) 1.85±0.29, (Hipp) 1.78±0.12, (Hyp) 164±0.12, (PDVR) 1.79±0.13, (Rt) 1.65±0.07 and (V)</w:t>
      </w:r>
      <w:r>
        <w:t xml:space="preserve"> 3.22±0.31s (mean±SD). T2 relaxation times were 70.64+2.53, (Dma) 66.71+3.2, (DC) 70.55+3.09, (Hipp) 64.56±2.22, (Hyp) 67.83±1.96, (PDVR) 68.93±2.08, (Rt) 62.35±2.14 and (V) 336.14±11.14ms (mean±SD). Standard deviation represents variations within a select</w:t>
      </w:r>
      <w:r>
        <w:t>ed ROI.</w:t>
      </w:r>
    </w:p>
    <w:p w:rsidR="00556DE7" w:rsidRDefault="00556DE7">
      <w:pPr>
        <w:jc w:val="both"/>
        <w:rPr>
          <w:rFonts w:asciiTheme="minorBidi" w:hAnsiTheme="minorBidi"/>
        </w:rPr>
      </w:pPr>
    </w:p>
    <w:p w:rsidR="00556DE7" w:rsidRDefault="00BA5CBD">
      <w:pPr>
        <w:keepNext/>
        <w:jc w:val="both"/>
      </w:pPr>
      <w:r>
        <w:rPr>
          <w:noProof/>
          <w:lang w:val="de-DE" w:eastAsia="de-DE"/>
        </w:rPr>
        <w:lastRenderedPageBreak/>
        <w:drawing>
          <wp:inline distT="0" distB="0" distL="0" distR="0">
            <wp:extent cx="5943600" cy="5943600"/>
            <wp:effectExtent l="0" t="0" r="0" b="0"/>
            <wp:docPr id="3" name="Picture 4" descr="R:\Mehdi_PhD\Projects\Running Projects\Crocodile_fMRI\text\Figures\Figure_S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R:\Mehdi_PhD\Projects\Running Projects\Crocodile_fMRI\text\Figures\Figure_S03.tif"/>
                    <pic:cNvPicPr>
                      <a:picLocks noChangeAspect="1" noChangeArrowheads="1"/>
                    </pic:cNvPicPr>
                  </pic:nvPicPr>
                  <pic:blipFill>
                    <a:blip r:embed="rId6"/>
                    <a:stretch>
                      <a:fillRect/>
                    </a:stretch>
                  </pic:blipFill>
                  <pic:spPr bwMode="auto">
                    <a:xfrm>
                      <a:off x="0" y="0"/>
                      <a:ext cx="5943600" cy="5943600"/>
                    </a:xfrm>
                    <a:prstGeom prst="rect">
                      <a:avLst/>
                    </a:prstGeom>
                  </pic:spPr>
                </pic:pic>
              </a:graphicData>
            </a:graphic>
          </wp:inline>
        </w:drawing>
      </w:r>
    </w:p>
    <w:p w:rsidR="00556DE7" w:rsidRDefault="00BA5CBD">
      <w:pPr>
        <w:jc w:val="both"/>
      </w:pPr>
      <w:r>
        <w:rPr>
          <w:b/>
          <w:bCs/>
        </w:rPr>
        <w:t>Figure S03-</w:t>
      </w:r>
      <w:r>
        <w:t xml:space="preserve"> </w:t>
      </w:r>
      <w:r>
        <w:t xml:space="preserve">Plots of the </w:t>
      </w:r>
      <w:r>
        <w:t xml:space="preserve">10x down-scaled translational (left) and rotational (right) </w:t>
      </w:r>
      <w:r>
        <w:t>m</w:t>
      </w:r>
      <w:r>
        <w:t>otion parameters</w:t>
      </w:r>
      <w:r>
        <w:t xml:space="preserve"> estimated by the toolbox MCFLIRT, </w:t>
      </w:r>
      <w:r>
        <w:t>FSL 4.0</w:t>
      </w:r>
      <w:r>
        <w:t xml:space="preserve"> </w:t>
      </w:r>
      <w:r>
        <w:t>for each of the five mildly sedated crocodiles used in this study (A-E)</w:t>
      </w:r>
      <w:r>
        <w:t xml:space="preserve">. Data stability was estimated by a 3D rigid body model with six degrees of freedom for translation and rotation. Blue, green, and red lines correspond </w:t>
      </w:r>
      <w:r>
        <w:t>to the direction of movements in x, y, and z-direction. Mean motion across all animals in any direction was 0.018 ± 0.003mm (mean ± SD).</w:t>
      </w:r>
    </w:p>
    <w:p w:rsidR="00556DE7" w:rsidRDefault="00556DE7">
      <w:pPr>
        <w:jc w:val="both"/>
      </w:pPr>
    </w:p>
    <w:p w:rsidR="00556DE7" w:rsidRDefault="00BA5CBD">
      <w:pPr>
        <w:keepNext/>
        <w:jc w:val="center"/>
      </w:pPr>
      <w:r>
        <w:rPr>
          <w:noProof/>
          <w:lang w:val="de-DE" w:eastAsia="de-DE"/>
        </w:rPr>
        <w:lastRenderedPageBreak/>
        <w:drawing>
          <wp:inline distT="0" distB="0" distL="0" distR="6350">
            <wp:extent cx="5727700" cy="3664585"/>
            <wp:effectExtent l="0" t="0" r="0" b="0"/>
            <wp:docPr id="4" name="Picture 10" descr="R:\Mehdi_PhD\Projects\Finished Project\Crocodile_fMRI\text\RoyalSociety\ProcB Submission\revision\Figure_S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descr="R:\Mehdi_PhD\Projects\Finished Project\Crocodile_fMRI\text\RoyalSociety\ProcB Submission\revision\Figure_S04.tif"/>
                    <pic:cNvPicPr>
                      <a:picLocks noChangeAspect="1" noChangeArrowheads="1"/>
                    </pic:cNvPicPr>
                  </pic:nvPicPr>
                  <pic:blipFill>
                    <a:blip r:embed="rId7"/>
                    <a:stretch>
                      <a:fillRect/>
                    </a:stretch>
                  </pic:blipFill>
                  <pic:spPr bwMode="auto">
                    <a:xfrm>
                      <a:off x="0" y="0"/>
                      <a:ext cx="5727700" cy="3664585"/>
                    </a:xfrm>
                    <a:prstGeom prst="rect">
                      <a:avLst/>
                    </a:prstGeom>
                  </pic:spPr>
                </pic:pic>
              </a:graphicData>
            </a:graphic>
          </wp:inline>
        </w:drawing>
      </w:r>
    </w:p>
    <w:p w:rsidR="00556DE7" w:rsidRDefault="00BA5CBD">
      <w:pPr>
        <w:pStyle w:val="Caption"/>
        <w:spacing w:line="276" w:lineRule="auto"/>
      </w:pPr>
      <w:r>
        <w:rPr>
          <w:color w:val="00000A"/>
          <w:sz w:val="22"/>
          <w:szCs w:val="22"/>
        </w:rPr>
        <w:t>Figure S04-</w:t>
      </w:r>
      <w:r>
        <w:rPr>
          <w:b w:val="0"/>
          <w:bCs w:val="0"/>
          <w:color w:val="00000A"/>
          <w:sz w:val="22"/>
          <w:szCs w:val="22"/>
        </w:rPr>
        <w:t xml:space="preserve"> BOLD signal intensity in (A) the auditory region (cAu</w:t>
      </w:r>
      <w:r>
        <w:rPr>
          <w:b w:val="0"/>
          <w:bCs w:val="0"/>
          <w:color w:val="00000A"/>
          <w:sz w:val="22"/>
          <w:szCs w:val="22"/>
          <w:vertAlign w:val="subscript"/>
        </w:rPr>
        <w:t>I</w:t>
      </w:r>
      <w:r>
        <w:rPr>
          <w:b w:val="0"/>
          <w:bCs w:val="0"/>
          <w:color w:val="00000A"/>
          <w:sz w:val="22"/>
          <w:szCs w:val="22"/>
        </w:rPr>
        <w:t>) during display of Bach music and (B) in the visu</w:t>
      </w:r>
      <w:r>
        <w:rPr>
          <w:b w:val="0"/>
          <w:bCs w:val="0"/>
          <w:color w:val="00000A"/>
          <w:sz w:val="22"/>
          <w:szCs w:val="22"/>
        </w:rPr>
        <w:t>al region (cVs</w:t>
      </w:r>
      <w:r>
        <w:rPr>
          <w:b w:val="0"/>
          <w:bCs w:val="0"/>
          <w:color w:val="00000A"/>
          <w:sz w:val="22"/>
          <w:szCs w:val="22"/>
          <w:vertAlign w:val="subscript"/>
        </w:rPr>
        <w:t>I</w:t>
      </w:r>
      <w:r>
        <w:rPr>
          <w:b w:val="0"/>
          <w:bCs w:val="0"/>
          <w:color w:val="00000A"/>
          <w:sz w:val="22"/>
          <w:szCs w:val="22"/>
        </w:rPr>
        <w:t xml:space="preserve">) during presentation of flashing red light at a 5Hz frequency. The red circles </w:t>
      </w:r>
      <w:r>
        <w:rPr>
          <w:b w:val="0"/>
          <w:bCs w:val="0"/>
          <w:color w:val="00000A"/>
          <w:sz w:val="22"/>
          <w:szCs w:val="22"/>
        </w:rPr>
        <w:t xml:space="preserve">outline </w:t>
      </w:r>
      <w:r>
        <w:rPr>
          <w:b w:val="0"/>
          <w:bCs w:val="0"/>
          <w:color w:val="00000A"/>
          <w:sz w:val="22"/>
          <w:szCs w:val="22"/>
        </w:rPr>
        <w:t>artifacts</w:t>
      </w:r>
      <w:r>
        <w:rPr>
          <w:b w:val="0"/>
          <w:bCs w:val="0"/>
          <w:color w:val="00000A"/>
          <w:sz w:val="22"/>
          <w:szCs w:val="22"/>
        </w:rPr>
        <w:t xml:space="preserve"> of </w:t>
      </w:r>
      <w:r>
        <w:rPr>
          <w:b w:val="0"/>
          <w:bCs w:val="0"/>
          <w:color w:val="00000A"/>
          <w:sz w:val="22"/>
          <w:szCs w:val="22"/>
        </w:rPr>
        <w:t xml:space="preserve">the </w:t>
      </w:r>
      <w:r>
        <w:rPr>
          <w:b w:val="0"/>
          <w:bCs w:val="0"/>
          <w:color w:val="00000A"/>
          <w:sz w:val="22"/>
          <w:szCs w:val="22"/>
        </w:rPr>
        <w:t xml:space="preserve">BOLD </w:t>
      </w:r>
      <w:r>
        <w:rPr>
          <w:b w:val="0"/>
          <w:bCs w:val="0"/>
          <w:color w:val="00000A"/>
          <w:sz w:val="22"/>
          <w:szCs w:val="22"/>
        </w:rPr>
        <w:t xml:space="preserve">signal </w:t>
      </w:r>
      <w:r>
        <w:rPr>
          <w:b w:val="0"/>
          <w:bCs w:val="0"/>
          <w:color w:val="00000A"/>
          <w:sz w:val="22"/>
          <w:szCs w:val="22"/>
        </w:rPr>
        <w:t xml:space="preserve">caused by </w:t>
      </w:r>
      <w:r>
        <w:rPr>
          <w:b w:val="0"/>
          <w:bCs w:val="0"/>
          <w:color w:val="00000A"/>
          <w:sz w:val="22"/>
          <w:szCs w:val="22"/>
        </w:rPr>
        <w:t xml:space="preserve">the deep breathing </w:t>
      </w:r>
      <w:bookmarkStart w:id="44" w:name="OLE_LINK11"/>
      <w:bookmarkStart w:id="45" w:name="OLE_LINK10"/>
      <w:r>
        <w:rPr>
          <w:b w:val="0"/>
          <w:bCs w:val="0"/>
          <w:color w:val="00000A"/>
          <w:sz w:val="22"/>
          <w:szCs w:val="22"/>
        </w:rPr>
        <w:t xml:space="preserve">bouts </w:t>
      </w:r>
      <w:bookmarkEnd w:id="44"/>
      <w:bookmarkEnd w:id="45"/>
      <w:r>
        <w:rPr>
          <w:b w:val="0"/>
          <w:bCs w:val="0"/>
          <w:color w:val="00000A"/>
          <w:sz w:val="22"/>
          <w:szCs w:val="22"/>
        </w:rPr>
        <w:t xml:space="preserve">common to crocodiles. The affected volumes at the time of breathing were </w:t>
      </w:r>
      <w:r>
        <w:rPr>
          <w:b w:val="0"/>
          <w:bCs w:val="0"/>
          <w:color w:val="00000A"/>
          <w:sz w:val="22"/>
          <w:szCs w:val="22"/>
        </w:rPr>
        <w:t xml:space="preserve">removed from the </w:t>
      </w:r>
      <w:r>
        <w:rPr>
          <w:b w:val="0"/>
          <w:bCs w:val="0"/>
          <w:color w:val="00000A"/>
          <w:sz w:val="22"/>
          <w:szCs w:val="22"/>
        </w:rPr>
        <w:t>fmri analysis</w:t>
      </w:r>
      <w:r>
        <w:rPr>
          <w:b w:val="0"/>
          <w:bCs w:val="0"/>
          <w:color w:val="00000A"/>
          <w:sz w:val="22"/>
          <w:szCs w:val="22"/>
        </w:rPr>
        <w:t>.</w:t>
      </w:r>
    </w:p>
    <w:p w:rsidR="00556DE7" w:rsidRDefault="00556DE7"/>
    <w:p w:rsidR="00556DE7" w:rsidRDefault="00BA5CBD">
      <w:pPr>
        <w:keepNext/>
      </w:pPr>
      <w:r>
        <w:rPr>
          <w:noProof/>
          <w:lang w:val="de-DE" w:eastAsia="de-DE"/>
        </w:rPr>
        <w:drawing>
          <wp:inline distT="0" distB="0" distL="0" distR="6350">
            <wp:extent cx="5727700" cy="1638935"/>
            <wp:effectExtent l="0" t="0" r="0" b="0"/>
            <wp:docPr id="5" name="Picture 11" descr="R:\Mehdi_PhD\Projects\Finished Project\Crocodile_fMRI\text\RoyalSociety\ProcB Submission\revisi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descr="R:\Mehdi_PhD\Projects\Finished Project\Crocodile_fMRI\text\RoyalSociety\ProcB Submission\revision\a.png"/>
                    <pic:cNvPicPr>
                      <a:picLocks noChangeAspect="1" noChangeArrowheads="1"/>
                    </pic:cNvPicPr>
                  </pic:nvPicPr>
                  <pic:blipFill>
                    <a:blip r:embed="rId8"/>
                    <a:stretch>
                      <a:fillRect/>
                    </a:stretch>
                  </pic:blipFill>
                  <pic:spPr bwMode="auto">
                    <a:xfrm>
                      <a:off x="0" y="0"/>
                      <a:ext cx="5727700" cy="1638935"/>
                    </a:xfrm>
                    <a:prstGeom prst="rect">
                      <a:avLst/>
                    </a:prstGeom>
                  </pic:spPr>
                </pic:pic>
              </a:graphicData>
            </a:graphic>
          </wp:inline>
        </w:drawing>
      </w:r>
    </w:p>
    <w:p w:rsidR="00556DE7" w:rsidRDefault="00BA5CBD">
      <w:pPr>
        <w:tabs>
          <w:tab w:val="left" w:pos="3976"/>
        </w:tabs>
      </w:pPr>
      <w:r>
        <w:rPr>
          <w:b/>
          <w:bCs/>
        </w:rPr>
        <w:t>Figure S05-</w:t>
      </w:r>
      <w:r>
        <w:t xml:space="preserve"> BOLD responses in three auditory regions of the Nile crocodile (A: cAu</w:t>
      </w:r>
      <w:r>
        <w:rPr>
          <w:vertAlign w:val="subscript"/>
        </w:rPr>
        <w:t>I</w:t>
      </w:r>
      <w:r>
        <w:t>, B: cAu</w:t>
      </w:r>
      <w:r>
        <w:rPr>
          <w:vertAlign w:val="subscript"/>
        </w:rPr>
        <w:t>II</w:t>
      </w:r>
      <w:r>
        <w:t>, C: cAu</w:t>
      </w:r>
      <w:r>
        <w:rPr>
          <w:vertAlign w:val="subscript"/>
        </w:rPr>
        <w:t>III</w:t>
      </w:r>
      <w:r>
        <w:t xml:space="preserve">) in response to </w:t>
      </w:r>
      <w:r>
        <w:t>Bach music, measured with two different echo times TE=18.5ms (blue) and TE=30 ms (red). TE close to the T</w:t>
      </w:r>
      <w:r>
        <w:rPr>
          <w:vertAlign w:val="subscript"/>
        </w:rPr>
        <w:t>2</w:t>
      </w:r>
      <w:r>
        <w:rPr>
          <w:vertAlign w:val="superscript"/>
        </w:rPr>
        <w:t>*</w:t>
      </w:r>
      <w:r>
        <w:t xml:space="preserve"> relaxation time is the desired value for GE-EPI sequences to detect BOLD signal. The result depicts that short TE reduced the amplitude of the BOLD </w:t>
      </w:r>
      <w:r>
        <w:t>signal. To increase sensitivity, TE of 30ms was used in the following experiments.</w:t>
      </w:r>
    </w:p>
    <w:p w:rsidR="00556DE7" w:rsidRDefault="00556DE7">
      <w:pPr>
        <w:tabs>
          <w:tab w:val="left" w:pos="3976"/>
        </w:tabs>
      </w:pPr>
    </w:p>
    <w:p w:rsidR="00556DE7" w:rsidRDefault="00556DE7">
      <w:pPr>
        <w:tabs>
          <w:tab w:val="left" w:pos="3976"/>
        </w:tabs>
      </w:pPr>
    </w:p>
    <w:p w:rsidR="00556DE7" w:rsidRDefault="00BA5CBD">
      <w:pPr>
        <w:keepNext/>
        <w:tabs>
          <w:tab w:val="left" w:pos="3976"/>
        </w:tabs>
      </w:pPr>
      <w:r>
        <w:rPr>
          <w:noProof/>
          <w:lang w:val="de-DE" w:eastAsia="de-DE"/>
        </w:rPr>
        <w:lastRenderedPageBreak/>
        <w:drawing>
          <wp:inline distT="0" distB="5715" distL="0" distR="6350">
            <wp:extent cx="5727700" cy="2833370"/>
            <wp:effectExtent l="0" t="0" r="0" b="0"/>
            <wp:docPr id="6" name="Picture 8" descr="R:\Mehdi_PhD\Projects\Finished Project\Crocodile_fMRI\text\RoyalSociety\ProcB Submission\revision\Figure_S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R:\Mehdi_PhD\Projects\Finished Project\Crocodile_fMRI\text\RoyalSociety\ProcB Submission\revision\Figure_S06.tif"/>
                    <pic:cNvPicPr>
                      <a:picLocks noChangeAspect="1" noChangeArrowheads="1"/>
                    </pic:cNvPicPr>
                  </pic:nvPicPr>
                  <pic:blipFill>
                    <a:blip r:embed="rId9"/>
                    <a:stretch>
                      <a:fillRect/>
                    </a:stretch>
                  </pic:blipFill>
                  <pic:spPr bwMode="auto">
                    <a:xfrm>
                      <a:off x="0" y="0"/>
                      <a:ext cx="5727700" cy="2833370"/>
                    </a:xfrm>
                    <a:prstGeom prst="rect">
                      <a:avLst/>
                    </a:prstGeom>
                  </pic:spPr>
                </pic:pic>
              </a:graphicData>
            </a:graphic>
          </wp:inline>
        </w:drawing>
      </w:r>
      <w:bookmarkStart w:id="46" w:name="OLE_LINK26"/>
      <w:bookmarkStart w:id="47" w:name="OLE_LINK25"/>
      <w:r>
        <w:rPr>
          <w:b/>
          <w:bCs/>
        </w:rPr>
        <w:t>Figure S06-</w:t>
      </w:r>
      <w:bookmarkEnd w:id="46"/>
      <w:bookmarkEnd w:id="47"/>
      <w:r>
        <w:t xml:space="preserve"> Visual activation maps of the Nile crocodile brain during monocular visual stimulation. BOLD response patterns to monocular stimulation with red light at an 8</w:t>
      </w:r>
      <w:r>
        <w:t xml:space="preserve"> Hz flickering frequency of the left (A) and right eye (B) are depicted. Z score maps show group results for the stimulation period vs dark period comparison (mixed effect model, FLAME1+2, p&lt;0.05, N=4). BOLD responses were only detectable in the hemisphere</w:t>
      </w:r>
      <w:r>
        <w:t xml:space="preserve"> contralateral to the stimulated eye. Graphs in the lower right corner in A and B show changes in BOLD signal before, during and after the stimulus period (highlighted in grey). Error bars represent SEM.</w:t>
      </w:r>
    </w:p>
    <w:p w:rsidR="00BA5CBD" w:rsidRDefault="00BA5CBD">
      <w:pPr>
        <w:keepNext/>
        <w:tabs>
          <w:tab w:val="left" w:pos="3976"/>
        </w:tabs>
      </w:pPr>
    </w:p>
    <w:p w:rsidR="00BA5CBD" w:rsidRDefault="00BA5CBD">
      <w:pPr>
        <w:keepNext/>
        <w:tabs>
          <w:tab w:val="left" w:pos="3976"/>
        </w:tabs>
        <w:rPr>
          <w:b/>
          <w:bCs/>
        </w:rPr>
      </w:pPr>
    </w:p>
    <w:p w:rsidR="00556DE7" w:rsidRDefault="00BA5CB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pPr>
      <w:r>
        <w:rPr>
          <w:noProof/>
          <w:lang w:val="de-DE" w:eastAsia="de-DE"/>
        </w:rPr>
        <w:drawing>
          <wp:inline distT="0" distB="2540" distL="0" distR="6350">
            <wp:extent cx="5727700" cy="2150110"/>
            <wp:effectExtent l="0" t="0" r="0" b="0"/>
            <wp:docPr id="7" name="Picture 5" descr="R:\Mehdi_PhD\Projects\Finished Project\Crocodile_fMRI\text\RoyalSociety\ProcB Submission\revision\Figure_S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R:\Mehdi_PhD\Projects\Finished Project\Crocodile_fMRI\text\RoyalSociety\ProcB Submission\revision\Figure_S07.tif"/>
                    <pic:cNvPicPr>
                      <a:picLocks noChangeAspect="1" noChangeArrowheads="1"/>
                    </pic:cNvPicPr>
                  </pic:nvPicPr>
                  <pic:blipFill>
                    <a:blip r:embed="rId10"/>
                    <a:stretch>
                      <a:fillRect/>
                    </a:stretch>
                  </pic:blipFill>
                  <pic:spPr bwMode="auto">
                    <a:xfrm>
                      <a:off x="0" y="0"/>
                      <a:ext cx="5727700" cy="2150110"/>
                    </a:xfrm>
                    <a:prstGeom prst="rect">
                      <a:avLst/>
                    </a:prstGeom>
                  </pic:spPr>
                </pic:pic>
              </a:graphicData>
            </a:graphic>
          </wp:inline>
        </w:drawing>
      </w:r>
    </w:p>
    <w:p w:rsidR="00556DE7" w:rsidRDefault="00BA5CBD">
      <w:pPr>
        <w:jc w:val="both"/>
      </w:pPr>
      <w:r w:rsidRPr="00F61FF7">
        <w:rPr>
          <w:b/>
          <w:bCs/>
        </w:rPr>
        <w:t>Figure S07-</w:t>
      </w:r>
      <w:r>
        <w:t xml:space="preserve"> Image series acquired with</w:t>
      </w:r>
      <w:r w:rsidR="00F61FF7">
        <w:t xml:space="preserve"> a</w:t>
      </w:r>
      <w:r>
        <w:t xml:space="preserve"> fast multip</w:t>
      </w:r>
      <w:r>
        <w:t>le spin-echo (RARE) sequence at 7T from an ex-vivo Nile crocodile brain. The spatial resolution is 80×80</w:t>
      </w:r>
      <w:bookmarkStart w:id="48" w:name="OLE_LINK5"/>
      <w:bookmarkStart w:id="49" w:name="OLE_LINK4"/>
      <w:r>
        <w:t>×</w:t>
      </w:r>
      <w:bookmarkEnd w:id="48"/>
      <w:bookmarkEnd w:id="49"/>
      <w:r>
        <w:t>98 µm</w:t>
      </w:r>
      <w:r w:rsidRPr="00F61FF7">
        <w:rPr>
          <w:vertAlign w:val="superscript"/>
        </w:rPr>
        <w:t>3</w:t>
      </w:r>
      <w:r>
        <w:t xml:space="preserve">. </w:t>
      </w:r>
      <w:r>
        <w:t>Scan time was 51h</w:t>
      </w:r>
      <w:r>
        <w:t>.</w:t>
      </w:r>
      <w:r>
        <w:t xml:space="preserve"> In the upper row, areas identified in this study are outlined. The lower row shows the measured BOLD signal mapped on the </w:t>
      </w:r>
      <w:r>
        <w:t>structural MRI images.</w:t>
      </w:r>
      <w:r>
        <w:t xml:space="preserve"> The identified areas overlap well with fiber rich areas (darker </w:t>
      </w:r>
      <w:r>
        <w:t>image contrast</w:t>
      </w:r>
      <w:r>
        <w:t>) within the DVR</w:t>
      </w:r>
      <w:r w:rsidR="00F61FF7">
        <w:t>,</w:t>
      </w:r>
      <w:r>
        <w:t xml:space="preserve"> likely representing termination fields of diencephalic projection fibers. Also the diencephalic nucleus rotundus is well visible </w:t>
      </w:r>
      <w:r>
        <w:t>in the structural MRI picture and does overlap with the measured BOLD signal.</w:t>
      </w:r>
    </w:p>
    <w:p w:rsidR="00556DE7" w:rsidRDefault="00BA5CBD">
      <w:pPr>
        <w:jc w:val="both"/>
      </w:pPr>
      <w:bookmarkStart w:id="50" w:name="OLE_LINK18"/>
      <w:r>
        <w:rPr>
          <w:b/>
          <w:bCs/>
        </w:rPr>
        <w:lastRenderedPageBreak/>
        <w:t xml:space="preserve">Movie S01- </w:t>
      </w:r>
      <w:bookmarkEnd w:id="50"/>
      <w:r>
        <w:t>Real-time MRI movie of a crocodile head using a single-slice coronal</w:t>
      </w:r>
      <w:r>
        <w:t xml:space="preserve"> 2D TrueFISP sequence with a frame duration of 326ms and total acquisition time of</w:t>
      </w:r>
      <w:r>
        <w:t xml:space="preserve"> 10min 52s. Observe anatomical changes in the larynx during burst- and deep-breath events while the brain remains free of any motion. The dark bands outside of the brain are typical TrueFISP banding artifacts caused by</w:t>
      </w:r>
      <w:r>
        <w:t xml:space="preserve"> off-resonant magnetization outside o</w:t>
      </w:r>
      <w:r>
        <w:t>f the shimmed region.</w:t>
      </w:r>
      <w:bookmarkStart w:id="51" w:name="_GoBack"/>
      <w:bookmarkEnd w:id="51"/>
    </w:p>
    <w:sectPr w:rsidR="00556DE7">
      <w:pgSz w:w="11906" w:h="16838"/>
      <w:pgMar w:top="1440" w:right="1440" w:bottom="144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Liberation Sans">
    <w:altName w:val="Arial"/>
    <w:charset w:val="01"/>
    <w:family w:val="swiss"/>
    <w:pitch w:val="variable"/>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RUB Scala MZ">
    <w:panose1 w:val="02000504070000020003"/>
    <w:charset w:val="00"/>
    <w:family w:val="auto"/>
    <w:pitch w:val="variable"/>
    <w:sig w:usb0="A00000AF" w:usb1="4000E05B"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DE7"/>
    <w:rsid w:val="00556DE7"/>
    <w:rsid w:val="007745F2"/>
    <w:rsid w:val="007D0505"/>
    <w:rsid w:val="00BA5CBD"/>
    <w:rsid w:val="00F61FF7"/>
  </w:rsids>
  <m:mathPr>
    <m:mathFont m:val="Cambria Math"/>
    <m:brkBin m:val="before"/>
    <m:brkBinSub m:val="--"/>
    <m:smallFrac m:val="0"/>
    <m:dispDef/>
    <m:lMargin m:val="0"/>
    <m:rMargin m:val="0"/>
    <m:defJc m:val="centerGroup"/>
    <m:wrapIndent m:val="1440"/>
    <m:intLim m:val="subSup"/>
    <m:naryLim m:val="undOvr"/>
  </m:mathPr>
  <w:themeFontLang w:val="en-US"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9DB18"/>
  <w15:docId w15:val="{6BF602F2-A979-494E-841F-CE0BFB318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72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3A3723"/>
    <w:rPr>
      <w:rFonts w:ascii="Tahoma" w:hAnsi="Tahoma" w:cs="Tahoma"/>
      <w:sz w:val="16"/>
      <w:szCs w:val="16"/>
    </w:rPr>
  </w:style>
  <w:style w:type="character" w:styleId="CommentReference">
    <w:name w:val="annotation reference"/>
    <w:basedOn w:val="DefaultParagraphFont"/>
    <w:uiPriority w:val="99"/>
    <w:semiHidden/>
    <w:unhideWhenUsed/>
    <w:qFormat/>
    <w:rsid w:val="00FB790E"/>
    <w:rPr>
      <w:sz w:val="16"/>
      <w:szCs w:val="16"/>
    </w:rPr>
  </w:style>
  <w:style w:type="character" w:customStyle="1" w:styleId="CommentTextChar">
    <w:name w:val="Comment Text Char"/>
    <w:basedOn w:val="DefaultParagraphFont"/>
    <w:link w:val="CommentText"/>
    <w:uiPriority w:val="99"/>
    <w:qFormat/>
    <w:rsid w:val="00FB790E"/>
    <w:rPr>
      <w:sz w:val="20"/>
      <w:szCs w:val="20"/>
    </w:rPr>
  </w:style>
  <w:style w:type="character" w:customStyle="1" w:styleId="CommentSubjectChar">
    <w:name w:val="Comment Subject Char"/>
    <w:basedOn w:val="CommentTextChar"/>
    <w:link w:val="CommentSubject"/>
    <w:uiPriority w:val="99"/>
    <w:semiHidden/>
    <w:qFormat/>
    <w:rsid w:val="00783792"/>
    <w:rPr>
      <w:b/>
      <w:bCs/>
      <w:sz w:val="20"/>
      <w:szCs w:val="20"/>
    </w:rPr>
  </w:style>
  <w:style w:type="character" w:customStyle="1" w:styleId="st">
    <w:name w:val="st"/>
    <w:basedOn w:val="DefaultParagraphFont"/>
    <w:qFormat/>
    <w:rsid w:val="00527955"/>
  </w:style>
  <w:style w:type="character" w:customStyle="1" w:styleId="HeaderChar">
    <w:name w:val="Header Char"/>
    <w:basedOn w:val="DefaultParagraphFont"/>
    <w:link w:val="Header"/>
    <w:uiPriority w:val="99"/>
    <w:qFormat/>
    <w:rsid w:val="00B713A0"/>
  </w:style>
  <w:style w:type="character" w:customStyle="1" w:styleId="FooterChar">
    <w:name w:val="Footer Char"/>
    <w:basedOn w:val="DefaultParagraphFont"/>
    <w:link w:val="Footer"/>
    <w:uiPriority w:val="99"/>
    <w:qFormat/>
    <w:rsid w:val="00B713A0"/>
  </w:style>
  <w:style w:type="character" w:customStyle="1" w:styleId="xbe">
    <w:name w:val="_xbe"/>
    <w:basedOn w:val="DefaultParagraphFont"/>
    <w:qFormat/>
    <w:rsid w:val="001C09E6"/>
  </w:style>
  <w:style w:type="character" w:customStyle="1" w:styleId="current-selection">
    <w:name w:val="current-selection"/>
    <w:basedOn w:val="DefaultParagraphFont"/>
    <w:qFormat/>
    <w:rsid w:val="00A023C8"/>
  </w:style>
  <w:style w:type="character" w:customStyle="1" w:styleId="a">
    <w:name w:val="_"/>
    <w:basedOn w:val="DefaultParagraphFont"/>
    <w:qFormat/>
    <w:rsid w:val="00A023C8"/>
  </w:style>
  <w:style w:type="character" w:customStyle="1" w:styleId="TitleChar">
    <w:name w:val="Title Char"/>
    <w:basedOn w:val="DefaultParagraphFont"/>
    <w:link w:val="Title"/>
    <w:uiPriority w:val="10"/>
    <w:qFormat/>
    <w:rsid w:val="003D7C4E"/>
    <w:rPr>
      <w:rFonts w:asciiTheme="majorHAnsi" w:eastAsiaTheme="majorEastAsia" w:hAnsiTheme="majorHAnsi" w:cstheme="majorBidi"/>
      <w:spacing w:val="-10"/>
      <w:kern w:val="2"/>
      <w:sz w:val="56"/>
      <w:szCs w:val="56"/>
    </w:rPr>
  </w:style>
  <w:style w:type="paragraph" w:customStyle="1" w:styleId="Heading">
    <w:name w:val="Heading"/>
    <w:basedOn w:val="Normal"/>
    <w:next w:val="BodyText"/>
    <w:qFormat/>
    <w:pPr>
      <w:keepNext/>
      <w:spacing w:before="240" w:after="120"/>
    </w:pPr>
    <w:rPr>
      <w:rFonts w:ascii="Liberation Sans" w:eastAsia="Droid Sans Fallback"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next w:val="Normal"/>
    <w:uiPriority w:val="35"/>
    <w:unhideWhenUsed/>
    <w:qFormat/>
    <w:rsid w:val="003A3723"/>
    <w:pPr>
      <w:spacing w:line="240" w:lineRule="auto"/>
    </w:pPr>
    <w:rPr>
      <w:b/>
      <w:bCs/>
      <w:color w:val="4F81BD" w:themeColor="accent1"/>
      <w:sz w:val="18"/>
      <w:szCs w:val="18"/>
    </w:rPr>
  </w:style>
  <w:style w:type="paragraph" w:customStyle="1" w:styleId="Index">
    <w:name w:val="Index"/>
    <w:basedOn w:val="Normal"/>
    <w:qFormat/>
    <w:pPr>
      <w:suppressLineNumbers/>
    </w:pPr>
    <w:rPr>
      <w:rFonts w:cs="FreeSans"/>
    </w:rPr>
  </w:style>
  <w:style w:type="paragraph" w:styleId="ListParagraph">
    <w:name w:val="List Paragraph"/>
    <w:basedOn w:val="Normal"/>
    <w:uiPriority w:val="34"/>
    <w:qFormat/>
    <w:rsid w:val="003A3723"/>
    <w:pPr>
      <w:spacing w:after="0" w:line="280" w:lineRule="exact"/>
      <w:ind w:left="720" w:right="851"/>
      <w:contextualSpacing/>
    </w:pPr>
    <w:rPr>
      <w:rFonts w:ascii="RUB Scala MZ" w:eastAsia="Times New Roman" w:hAnsi="RUB Scala MZ" w:cs="Times New Roman"/>
      <w:szCs w:val="24"/>
      <w:lang w:val="de-DE" w:eastAsia="de-DE"/>
    </w:rPr>
  </w:style>
  <w:style w:type="paragraph" w:styleId="BalloonText">
    <w:name w:val="Balloon Text"/>
    <w:basedOn w:val="Normal"/>
    <w:link w:val="BalloonTextChar"/>
    <w:uiPriority w:val="99"/>
    <w:semiHidden/>
    <w:unhideWhenUsed/>
    <w:qFormat/>
    <w:rsid w:val="003A3723"/>
    <w:pPr>
      <w:spacing w:after="0" w:line="240" w:lineRule="auto"/>
    </w:pPr>
    <w:rPr>
      <w:rFonts w:ascii="Tahoma" w:hAnsi="Tahoma" w:cs="Tahoma"/>
      <w:sz w:val="16"/>
      <w:szCs w:val="16"/>
    </w:rPr>
  </w:style>
  <w:style w:type="paragraph" w:styleId="CommentText">
    <w:name w:val="annotation text"/>
    <w:basedOn w:val="Normal"/>
    <w:link w:val="CommentTextChar"/>
    <w:uiPriority w:val="99"/>
    <w:unhideWhenUsed/>
    <w:qFormat/>
    <w:rsid w:val="00FB790E"/>
    <w:pPr>
      <w:spacing w:line="240" w:lineRule="auto"/>
    </w:pPr>
    <w:rPr>
      <w:sz w:val="20"/>
      <w:szCs w:val="20"/>
    </w:rPr>
  </w:style>
  <w:style w:type="paragraph" w:styleId="Bibliography">
    <w:name w:val="Bibliography"/>
    <w:basedOn w:val="Normal"/>
    <w:next w:val="Normal"/>
    <w:uiPriority w:val="37"/>
    <w:unhideWhenUsed/>
    <w:qFormat/>
    <w:rsid w:val="000743A6"/>
    <w:pPr>
      <w:spacing w:after="240" w:line="240" w:lineRule="auto"/>
      <w:ind w:left="720" w:hanging="720"/>
    </w:pPr>
  </w:style>
  <w:style w:type="paragraph" w:styleId="CommentSubject">
    <w:name w:val="annotation subject"/>
    <w:basedOn w:val="CommentText"/>
    <w:link w:val="CommentSubjectChar"/>
    <w:uiPriority w:val="99"/>
    <w:semiHidden/>
    <w:unhideWhenUsed/>
    <w:qFormat/>
    <w:rsid w:val="00783792"/>
    <w:rPr>
      <w:b/>
      <w:bCs/>
    </w:rPr>
  </w:style>
  <w:style w:type="paragraph" w:styleId="NormalWeb">
    <w:name w:val="Normal (Web)"/>
    <w:basedOn w:val="Normal"/>
    <w:uiPriority w:val="99"/>
    <w:semiHidden/>
    <w:unhideWhenUsed/>
    <w:qFormat/>
    <w:rsid w:val="00F96178"/>
    <w:pPr>
      <w:spacing w:beforeAutospacing="1" w:afterAutospacing="1" w:line="240" w:lineRule="auto"/>
    </w:pPr>
    <w:rPr>
      <w:rFonts w:ascii="Times New Roman" w:eastAsia="Times New Roman" w:hAnsi="Times New Roman" w:cs="Times New Roman"/>
      <w:sz w:val="24"/>
      <w:szCs w:val="24"/>
      <w:lang w:val="en-ZA" w:eastAsia="en-ZA"/>
    </w:rPr>
  </w:style>
  <w:style w:type="paragraph" w:styleId="Header">
    <w:name w:val="header"/>
    <w:basedOn w:val="Normal"/>
    <w:link w:val="HeaderChar"/>
    <w:uiPriority w:val="99"/>
    <w:unhideWhenUsed/>
    <w:rsid w:val="00B713A0"/>
    <w:pPr>
      <w:tabs>
        <w:tab w:val="center" w:pos="4680"/>
        <w:tab w:val="right" w:pos="9360"/>
      </w:tabs>
      <w:spacing w:after="0" w:line="240" w:lineRule="auto"/>
    </w:pPr>
  </w:style>
  <w:style w:type="paragraph" w:styleId="Footer">
    <w:name w:val="footer"/>
    <w:basedOn w:val="Normal"/>
    <w:link w:val="FooterChar"/>
    <w:uiPriority w:val="99"/>
    <w:unhideWhenUsed/>
    <w:rsid w:val="00B713A0"/>
    <w:pPr>
      <w:tabs>
        <w:tab w:val="center" w:pos="4680"/>
        <w:tab w:val="right" w:pos="9360"/>
      </w:tabs>
      <w:spacing w:after="0" w:line="240" w:lineRule="auto"/>
    </w:pPr>
  </w:style>
  <w:style w:type="paragraph" w:styleId="Title">
    <w:name w:val="Title"/>
    <w:basedOn w:val="Normal"/>
    <w:next w:val="Normal"/>
    <w:link w:val="TitleChar"/>
    <w:uiPriority w:val="10"/>
    <w:qFormat/>
    <w:rsid w:val="003D7C4E"/>
    <w:pPr>
      <w:spacing w:after="0" w:line="240" w:lineRule="auto"/>
      <w:contextualSpacing/>
    </w:pPr>
    <w:rPr>
      <w:rFonts w:asciiTheme="majorHAnsi" w:eastAsiaTheme="majorEastAsia" w:hAnsiTheme="majorHAnsi" w:cstheme="majorBidi"/>
      <w:spacing w:val="-10"/>
      <w:kern w:val="2"/>
      <w:sz w:val="56"/>
      <w:szCs w:val="56"/>
    </w:rPr>
  </w:style>
  <w:style w:type="character" w:styleId="PlaceholderText">
    <w:name w:val="Placeholder Text"/>
    <w:basedOn w:val="DefaultParagraphFont"/>
    <w:uiPriority w:val="99"/>
    <w:semiHidden/>
    <w:rsid w:val="007745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ti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fontTable" Target="fontTable.xml"/><Relationship Id="rId5" Type="http://schemas.openxmlformats.org/officeDocument/2006/relationships/image" Target="media/image2.tif"/><Relationship Id="rId10" Type="http://schemas.openxmlformats.org/officeDocument/2006/relationships/image" Target="media/image7.tif"/><Relationship Id="rId4" Type="http://schemas.openxmlformats.org/officeDocument/2006/relationships/image" Target="media/image1.tif"/><Relationship Id="rId9"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18119</Words>
  <Characters>114154</Characters>
  <Application>Microsoft Office Word</Application>
  <DocSecurity>0</DocSecurity>
  <Lines>951</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Behroozi, Mehdi</dc:creator>
  <dc:description/>
  <cp:lastModifiedBy>Ströckens, Felix</cp:lastModifiedBy>
  <cp:revision>3</cp:revision>
  <dcterms:created xsi:type="dcterms:W3CDTF">2018-04-10T14:02:00Z</dcterms:created>
  <dcterms:modified xsi:type="dcterms:W3CDTF">2018-04-10T14:04:00Z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endeley Citation Style_1">
    <vt:lpwstr>http://www.zotero.org/styles/philosophical-transactions-of-the-royal-society-b</vt:lpwstr>
  </property>
  <property fmtid="{D5CDD505-2E9C-101B-9397-08002B2CF9AE}" pid="7" name="Mendeley Document_1">
    <vt:lpwstr>True</vt:lpwstr>
  </property>
  <property fmtid="{D5CDD505-2E9C-101B-9397-08002B2CF9AE}" pid="8" name="Mendeley Recent Style Id 0_1">
    <vt:lpwstr>http://www.zotero.org/styles/apa</vt:lpwstr>
  </property>
  <property fmtid="{D5CDD505-2E9C-101B-9397-08002B2CF9AE}" pid="9" name="Mendeley Recent Style Id 1_1">
    <vt:lpwstr>http://www.zotero.org/styles/american-sociological-association</vt:lpwstr>
  </property>
  <property fmtid="{D5CDD505-2E9C-101B-9397-08002B2CF9AE}" pid="10" name="Mendeley Recent Style Id 2_1">
    <vt:lpwstr>http://www.zotero.org/styles/chicago-author-date</vt:lpwstr>
  </property>
  <property fmtid="{D5CDD505-2E9C-101B-9397-08002B2CF9AE}" pid="11" name="Mendeley Recent Style Id 3_1">
    <vt:lpwstr>http://www.zotero.org/styles/ieee</vt:lpwstr>
  </property>
  <property fmtid="{D5CDD505-2E9C-101B-9397-08002B2CF9AE}" pid="12" name="Mendeley Recent Style Id 4_1">
    <vt:lpwstr>http://www.zotero.org/styles/modern-humanities-research-association</vt:lpwstr>
  </property>
  <property fmtid="{D5CDD505-2E9C-101B-9397-08002B2CF9AE}" pid="13" name="Mendeley Recent Style Id 5_1">
    <vt:lpwstr>http://www.zotero.org/styles/modern-language-association</vt:lpwstr>
  </property>
  <property fmtid="{D5CDD505-2E9C-101B-9397-08002B2CF9AE}" pid="14" name="Mendeley Recent Style Id 6_1">
    <vt:lpwstr>http://www.zotero.org/styles/nature</vt:lpwstr>
  </property>
  <property fmtid="{D5CDD505-2E9C-101B-9397-08002B2CF9AE}" pid="15" name="Mendeley Recent Style Id 7_1">
    <vt:lpwstr>http://www.zotero.org/styles/nature-communications</vt:lpwstr>
  </property>
  <property fmtid="{D5CDD505-2E9C-101B-9397-08002B2CF9AE}" pid="16" name="Mendeley Recent Style Id 8_1">
    <vt:lpwstr>http://www.zotero.org/styles/nature-methods</vt:lpwstr>
  </property>
  <property fmtid="{D5CDD505-2E9C-101B-9397-08002B2CF9AE}" pid="17" name="Mendeley Recent Style Id 9_1">
    <vt:lpwstr>http://www.zotero.org/styles/philosophical-transactions-of-the-royal-society-b</vt:lpwstr>
  </property>
  <property fmtid="{D5CDD505-2E9C-101B-9397-08002B2CF9AE}" pid="18" name="Mendeley Recent Style Name 0_1">
    <vt:lpwstr>American Psychological Association 6th edition</vt:lpwstr>
  </property>
  <property fmtid="{D5CDD505-2E9C-101B-9397-08002B2CF9AE}" pid="19" name="Mendeley Recent Style Name 1_1">
    <vt:lpwstr>American Sociological Association</vt:lpwstr>
  </property>
  <property fmtid="{D5CDD505-2E9C-101B-9397-08002B2CF9AE}" pid="20" name="Mendeley Recent Style Name 2_1">
    <vt:lpwstr>Chicago Manual of Style 16th edition (author-date)</vt:lpwstr>
  </property>
  <property fmtid="{D5CDD505-2E9C-101B-9397-08002B2CF9AE}" pid="21" name="Mendeley Recent Style Name 3_1">
    <vt:lpwstr>IEEE</vt:lpwstr>
  </property>
  <property fmtid="{D5CDD505-2E9C-101B-9397-08002B2CF9AE}" pid="22" name="Mendeley Recent Style Name 4_1">
    <vt:lpwstr>Modern Humanities Research Association 3rd edition (note with bibliography)</vt:lpwstr>
  </property>
  <property fmtid="{D5CDD505-2E9C-101B-9397-08002B2CF9AE}" pid="23" name="Mendeley Recent Style Name 5_1">
    <vt:lpwstr>Modern Language Association 7th edition</vt:lpwstr>
  </property>
  <property fmtid="{D5CDD505-2E9C-101B-9397-08002B2CF9AE}" pid="24" name="Mendeley Recent Style Name 6_1">
    <vt:lpwstr>Nature</vt:lpwstr>
  </property>
  <property fmtid="{D5CDD505-2E9C-101B-9397-08002B2CF9AE}" pid="25" name="Mendeley Recent Style Name 7_1">
    <vt:lpwstr>Nature Communications</vt:lpwstr>
  </property>
  <property fmtid="{D5CDD505-2E9C-101B-9397-08002B2CF9AE}" pid="26" name="Mendeley Recent Style Name 8_1">
    <vt:lpwstr>Nature Methods</vt:lpwstr>
  </property>
  <property fmtid="{D5CDD505-2E9C-101B-9397-08002B2CF9AE}" pid="27" name="Mendeley Recent Style Name 9_1">
    <vt:lpwstr>Philosophical Transactions of the Royal Society B</vt:lpwstr>
  </property>
  <property fmtid="{D5CDD505-2E9C-101B-9397-08002B2CF9AE}" pid="28" name="Mendeley Unique User Id_1">
    <vt:lpwstr>f0d9faa9-7935-30aa-b75c-3508edc77d34</vt:lpwstr>
  </property>
  <property fmtid="{D5CDD505-2E9C-101B-9397-08002B2CF9AE}" pid="29" name="ScaleCrop">
    <vt:bool>false</vt:bool>
  </property>
  <property fmtid="{D5CDD505-2E9C-101B-9397-08002B2CF9AE}" pid="30" name="ShareDoc">
    <vt:bool>false</vt:bool>
  </property>
  <property fmtid="{D5CDD505-2E9C-101B-9397-08002B2CF9AE}" pid="31" name="ZOTERO_PREF_1">
    <vt:lpwstr>&lt;data data-version="3" zotero-version="4.0.29.18"&gt;&lt;session id="fia8xyWY"/&gt;&lt;style id="http://www.zotero.org/styles/brain-behavior-and-evolution" hasBibliography="1" bibliographyStyleHasBeenSet="1"/&gt;&lt;prefs&gt;&lt;pref name="fieldType" value="Field"/&gt;&lt;pref name="s</vt:lpwstr>
  </property>
  <property fmtid="{D5CDD505-2E9C-101B-9397-08002B2CF9AE}" pid="32" name="ZOTERO_PREF_2">
    <vt:lpwstr>toreReferences" value="true"/&gt;&lt;pref name="automaticJournalAbbreviations" value="true"/&gt;&lt;pref name="noteType" value=""/&gt;&lt;/prefs&gt;&lt;/data&gt;</vt:lpwstr>
  </property>
</Properties>
</file>