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D" w:rsidRPr="00A14335" w:rsidRDefault="000C515D" w:rsidP="000C515D">
      <w:pPr>
        <w:spacing w:line="360" w:lineRule="auto"/>
        <w:ind w:right="707"/>
        <w:jc w:val="both"/>
        <w:rPr>
          <w:iCs/>
        </w:rPr>
      </w:pPr>
      <w:r w:rsidRPr="00A14335">
        <w:t xml:space="preserve">Trans-generational </w:t>
      </w:r>
      <w:r w:rsidR="003879C4">
        <w:t>immunisation</w:t>
      </w:r>
      <w:r w:rsidRPr="00A14335">
        <w:t xml:space="preserve"> in the acrobat ant </w:t>
      </w:r>
      <w:proofErr w:type="spellStart"/>
      <w:r w:rsidRPr="00A14335">
        <w:rPr>
          <w:i/>
          <w:iCs/>
        </w:rPr>
        <w:t>Crematogaster</w:t>
      </w:r>
      <w:proofErr w:type="spellEnd"/>
      <w:r w:rsidRPr="00A14335">
        <w:rPr>
          <w:i/>
          <w:iCs/>
        </w:rPr>
        <w:t xml:space="preserve"> </w:t>
      </w:r>
      <w:proofErr w:type="spellStart"/>
      <w:r w:rsidRPr="00A14335">
        <w:rPr>
          <w:i/>
          <w:iCs/>
        </w:rPr>
        <w:t>scutellaris</w:t>
      </w:r>
      <w:proofErr w:type="spellEnd"/>
      <w:r w:rsidRPr="00A14335">
        <w:rPr>
          <w:i/>
          <w:iCs/>
        </w:rPr>
        <w:t xml:space="preserve"> </w:t>
      </w:r>
    </w:p>
    <w:p w:rsidR="000C515D" w:rsidRPr="00A14335" w:rsidRDefault="000C515D" w:rsidP="000C515D">
      <w:pPr>
        <w:spacing w:line="360" w:lineRule="auto"/>
        <w:ind w:right="707"/>
        <w:jc w:val="both"/>
        <w:rPr>
          <w:iCs/>
        </w:rPr>
      </w:pPr>
    </w:p>
    <w:p w:rsidR="000C515D" w:rsidRPr="00A14335" w:rsidRDefault="000C515D" w:rsidP="000C515D">
      <w:pPr>
        <w:spacing w:line="360" w:lineRule="auto"/>
        <w:ind w:right="707"/>
        <w:jc w:val="both"/>
        <w:rPr>
          <w:iCs/>
        </w:rPr>
      </w:pPr>
    </w:p>
    <w:p w:rsidR="000C515D" w:rsidRPr="00A14335" w:rsidRDefault="000C515D" w:rsidP="000C515D">
      <w:pPr>
        <w:spacing w:line="480" w:lineRule="auto"/>
        <w:outlineLvl w:val="0"/>
        <w:rPr>
          <w:lang w:val="it-IT"/>
        </w:rPr>
      </w:pPr>
      <w:r w:rsidRPr="00A14335">
        <w:rPr>
          <w:lang w:val="it-IT"/>
        </w:rPr>
        <w:t>Adele Bordoni</w:t>
      </w:r>
      <w:r w:rsidRPr="00A14335">
        <w:rPr>
          <w:vertAlign w:val="superscript"/>
          <w:lang w:val="it-IT"/>
        </w:rPr>
        <w:t>1</w:t>
      </w:r>
      <w:r w:rsidRPr="00A14335">
        <w:rPr>
          <w:lang w:val="it-IT"/>
        </w:rPr>
        <w:t>*, Leonardo Dapporto</w:t>
      </w:r>
      <w:r w:rsidRPr="00A14335">
        <w:rPr>
          <w:vertAlign w:val="superscript"/>
          <w:lang w:val="it-IT"/>
        </w:rPr>
        <w:t>1</w:t>
      </w:r>
      <w:r w:rsidRPr="00A14335">
        <w:rPr>
          <w:lang w:val="it-IT"/>
        </w:rPr>
        <w:t>, Irene tatini</w:t>
      </w:r>
      <w:r w:rsidRPr="00A14335">
        <w:rPr>
          <w:vertAlign w:val="superscript"/>
          <w:lang w:val="it-IT"/>
        </w:rPr>
        <w:t>1</w:t>
      </w:r>
      <w:r w:rsidRPr="00A14335">
        <w:rPr>
          <w:lang w:val="it-IT"/>
        </w:rPr>
        <w:t>, Martina Celli</w:t>
      </w:r>
      <w:r w:rsidRPr="00A14335">
        <w:rPr>
          <w:vertAlign w:val="superscript"/>
          <w:lang w:val="it-IT"/>
        </w:rPr>
        <w:t>1</w:t>
      </w:r>
      <w:r w:rsidRPr="00A14335">
        <w:rPr>
          <w:lang w:val="it-IT"/>
        </w:rPr>
        <w:t>, Manuel Bercigli</w:t>
      </w:r>
      <w:r w:rsidRPr="00A14335">
        <w:rPr>
          <w:vertAlign w:val="superscript"/>
          <w:lang w:val="it-IT"/>
        </w:rPr>
        <w:t>1</w:t>
      </w:r>
      <w:r w:rsidRPr="00A14335">
        <w:rPr>
          <w:lang w:val="it-IT"/>
        </w:rPr>
        <w:t xml:space="preserve">, Serena </w:t>
      </w:r>
      <w:proofErr w:type="spellStart"/>
      <w:r w:rsidRPr="00A14335">
        <w:rPr>
          <w:lang w:val="it-IT"/>
        </w:rPr>
        <w:t>Resurreción</w:t>
      </w:r>
      <w:proofErr w:type="spellEnd"/>
      <w:r w:rsidRPr="00A14335">
        <w:rPr>
          <w:lang w:val="it-IT"/>
        </w:rPr>
        <w:t xml:space="preserve"> Barrufet</w:t>
      </w:r>
      <w:r w:rsidRPr="00A14335">
        <w:rPr>
          <w:vertAlign w:val="superscript"/>
          <w:lang w:val="it-IT"/>
        </w:rPr>
        <w:t>1</w:t>
      </w:r>
      <w:r w:rsidRPr="00A14335">
        <w:rPr>
          <w:lang w:val="it-IT"/>
        </w:rPr>
        <w:t>, Brunella Perito</w:t>
      </w:r>
      <w:r w:rsidRPr="00A14335">
        <w:rPr>
          <w:vertAlign w:val="superscript"/>
          <w:lang w:val="it-IT"/>
        </w:rPr>
        <w:t>1</w:t>
      </w:r>
      <w:r w:rsidRPr="00A14335">
        <w:rPr>
          <w:lang w:val="it-IT"/>
        </w:rPr>
        <w:t>, Stefano Turillazzi</w:t>
      </w:r>
      <w:r w:rsidRPr="00A14335">
        <w:rPr>
          <w:vertAlign w:val="superscript"/>
          <w:lang w:val="it-IT"/>
        </w:rPr>
        <w:t>1</w:t>
      </w:r>
      <w:r w:rsidRPr="00A14335">
        <w:rPr>
          <w:lang w:val="it-IT"/>
        </w:rPr>
        <w:t>.</w:t>
      </w:r>
    </w:p>
    <w:p w:rsidR="000C515D" w:rsidRPr="00A91766" w:rsidRDefault="000C515D" w:rsidP="000C515D">
      <w:pPr>
        <w:spacing w:line="480" w:lineRule="auto"/>
        <w:rPr>
          <w:vertAlign w:val="superscript"/>
          <w:lang w:val="it-IT"/>
        </w:rPr>
      </w:pPr>
    </w:p>
    <w:p w:rsidR="000C515D" w:rsidRPr="00AB31AB" w:rsidRDefault="000C515D" w:rsidP="000C515D">
      <w:pPr>
        <w:spacing w:line="480" w:lineRule="auto"/>
      </w:pPr>
      <w:r w:rsidRPr="00AB31AB">
        <w:rPr>
          <w:vertAlign w:val="superscript"/>
        </w:rPr>
        <w:t>1</w:t>
      </w:r>
      <w:r w:rsidRPr="00AB31AB">
        <w:t>Biology Dep</w:t>
      </w:r>
      <w:r>
        <w:t>artment</w:t>
      </w:r>
      <w:r w:rsidRPr="00AB31AB">
        <w:t xml:space="preserve">, Florence University, 50019 Sesto </w:t>
      </w:r>
      <w:proofErr w:type="spellStart"/>
      <w:r w:rsidRPr="00AB31AB">
        <w:t>Fiorentino</w:t>
      </w:r>
      <w:proofErr w:type="spellEnd"/>
      <w:r w:rsidRPr="00AB31AB">
        <w:t>, Italy.</w:t>
      </w:r>
    </w:p>
    <w:p w:rsidR="000C515D" w:rsidRDefault="000C515D">
      <w:r>
        <w:br w:type="page"/>
      </w:r>
    </w:p>
    <w:p w:rsidR="006C13C9" w:rsidRPr="0076476B" w:rsidRDefault="0076476B">
      <w:pPr>
        <w:rPr>
          <w:lang w:val="en-US"/>
        </w:rPr>
      </w:pPr>
      <w:bookmarkStart w:id="0" w:name="_GoBack"/>
      <w:bookmarkEnd w:id="0"/>
      <w:r w:rsidRPr="0076476B">
        <w:rPr>
          <w:lang w:val="en-US"/>
        </w:rPr>
        <w:lastRenderedPageBreak/>
        <w:t>Supplementary methods</w:t>
      </w:r>
      <w:r w:rsidR="003B0CCE">
        <w:rPr>
          <w:lang w:val="en-US"/>
        </w:rPr>
        <w:t xml:space="preserve"> and results</w:t>
      </w:r>
    </w:p>
    <w:p w:rsidR="0076476B" w:rsidRPr="0076476B" w:rsidRDefault="0076476B">
      <w:pPr>
        <w:rPr>
          <w:lang w:val="en-US"/>
        </w:rPr>
      </w:pPr>
    </w:p>
    <w:p w:rsidR="0076476B" w:rsidRPr="0076476B" w:rsidRDefault="0076476B">
      <w:pPr>
        <w:rPr>
          <w:lang w:val="en-US"/>
        </w:rPr>
      </w:pPr>
      <w:r w:rsidRPr="0076476B">
        <w:rPr>
          <w:i/>
          <w:lang w:val="en-US"/>
        </w:rPr>
        <w:t xml:space="preserve">M. </w:t>
      </w:r>
      <w:proofErr w:type="spellStart"/>
      <w:r w:rsidRPr="0076476B">
        <w:rPr>
          <w:i/>
          <w:lang w:val="en-US"/>
        </w:rPr>
        <w:t>anisopliae</w:t>
      </w:r>
      <w:proofErr w:type="spellEnd"/>
      <w:r w:rsidR="00142707" w:rsidRPr="00142707">
        <w:rPr>
          <w:lang w:val="en-US"/>
        </w:rPr>
        <w:t xml:space="preserve"> </w:t>
      </w:r>
      <w:r w:rsidR="00142707">
        <w:rPr>
          <w:lang w:val="en-US"/>
        </w:rPr>
        <w:t>spore suspension</w:t>
      </w:r>
      <w:r w:rsidR="00142707" w:rsidRPr="00142707">
        <w:rPr>
          <w:lang w:val="en-US"/>
        </w:rPr>
        <w:t xml:space="preserve"> </w:t>
      </w:r>
      <w:r w:rsidR="00142707">
        <w:rPr>
          <w:lang w:val="en-US"/>
        </w:rPr>
        <w:t>and growth</w:t>
      </w:r>
      <w:r w:rsidR="00142707" w:rsidRPr="0076476B">
        <w:rPr>
          <w:lang w:val="en-US"/>
        </w:rPr>
        <w:t xml:space="preserve"> conditions</w:t>
      </w:r>
    </w:p>
    <w:p w:rsidR="0076476B" w:rsidRDefault="0076476B">
      <w:pPr>
        <w:rPr>
          <w:lang w:val="en-US"/>
        </w:rPr>
      </w:pPr>
    </w:p>
    <w:p w:rsidR="0076476B" w:rsidRDefault="004E05D8">
      <w:r>
        <w:rPr>
          <w:lang w:val="en-US"/>
        </w:rPr>
        <w:t xml:space="preserve">To verify </w:t>
      </w:r>
      <w:r w:rsidR="00645B2D">
        <w:rPr>
          <w:lang w:val="en-US"/>
        </w:rPr>
        <w:t xml:space="preserve">the </w:t>
      </w:r>
      <w:r w:rsidR="00645B2D">
        <w:t xml:space="preserve">virulence of </w:t>
      </w:r>
      <w:proofErr w:type="spellStart"/>
      <w:r w:rsidRPr="00A074BA">
        <w:rPr>
          <w:i/>
          <w:lang w:val="en-US"/>
        </w:rPr>
        <w:t>Metarhizium</w:t>
      </w:r>
      <w:proofErr w:type="spellEnd"/>
      <w:r w:rsidRPr="00A074BA">
        <w:rPr>
          <w:i/>
          <w:lang w:val="en-US"/>
        </w:rPr>
        <w:t xml:space="preserve"> </w:t>
      </w:r>
      <w:proofErr w:type="spellStart"/>
      <w:r w:rsidRPr="00A074BA">
        <w:rPr>
          <w:i/>
          <w:lang w:val="en-US"/>
        </w:rPr>
        <w:t>anisopliae</w:t>
      </w:r>
      <w:proofErr w:type="spellEnd"/>
      <w:r>
        <w:rPr>
          <w:lang w:val="en-US"/>
        </w:rPr>
        <w:t xml:space="preserve"> c</w:t>
      </w:r>
      <w:proofErr w:type="spellStart"/>
      <w:r w:rsidRPr="0076476B">
        <w:t>ommercial</w:t>
      </w:r>
      <w:proofErr w:type="spellEnd"/>
      <w:r w:rsidRPr="0076476B">
        <w:t xml:space="preserve"> spores </w:t>
      </w:r>
      <w:r>
        <w:t>(Met52© Monsanto</w:t>
      </w:r>
      <w:r w:rsidR="00645B2D">
        <w:t>) against ants</w:t>
      </w:r>
      <w:r w:rsidR="0076476B">
        <w:t>,</w:t>
      </w:r>
      <w:r w:rsidR="0076476B" w:rsidRPr="0076476B">
        <w:t xml:space="preserve"> we </w:t>
      </w:r>
      <w:r w:rsidR="00A074BA">
        <w:t>rinsed</w:t>
      </w:r>
      <w:r w:rsidR="00A074BA" w:rsidRPr="0076476B">
        <w:t xml:space="preserve"> </w:t>
      </w:r>
      <w:r w:rsidR="0076476B">
        <w:t xml:space="preserve">a series of ten foundresses of </w:t>
      </w:r>
      <w:r w:rsidR="0076476B" w:rsidRPr="0076476B">
        <w:rPr>
          <w:i/>
        </w:rPr>
        <w:t xml:space="preserve">C. </w:t>
      </w:r>
      <w:proofErr w:type="spellStart"/>
      <w:r w:rsidR="0076476B" w:rsidRPr="0076476B">
        <w:rPr>
          <w:i/>
        </w:rPr>
        <w:t>scutellaris</w:t>
      </w:r>
      <w:proofErr w:type="spellEnd"/>
      <w:r w:rsidR="0076476B" w:rsidRPr="0076476B">
        <w:t xml:space="preserve"> </w:t>
      </w:r>
      <w:r w:rsidR="00A074BA">
        <w:t>in</w:t>
      </w:r>
      <w:r w:rsidR="00A074BA" w:rsidRPr="0076476B">
        <w:t xml:space="preserve"> </w:t>
      </w:r>
      <w:r w:rsidR="0076476B">
        <w:t xml:space="preserve">a suspension of </w:t>
      </w:r>
      <w:r w:rsidR="0076476B" w:rsidRPr="0076476B">
        <w:t>the commercial product</w:t>
      </w:r>
      <w:r w:rsidR="0076476B">
        <w:t xml:space="preserve">. After </w:t>
      </w:r>
      <w:r w:rsidR="000970BE">
        <w:t>the</w:t>
      </w:r>
      <w:r w:rsidR="0076476B">
        <w:t xml:space="preserve"> death</w:t>
      </w:r>
      <w:r w:rsidR="000970BE">
        <w:t xml:space="preserve"> of the foundresses,</w:t>
      </w:r>
      <w:r w:rsidR="0076476B">
        <w:t xml:space="preserve"> we </w:t>
      </w:r>
      <w:r w:rsidR="007456FE">
        <w:t>collected the fungal spores by washing the ant bodies showing growth of mycelium</w:t>
      </w:r>
      <w:r w:rsidR="00867D21">
        <w:t xml:space="preserve"> </w:t>
      </w:r>
      <w:r w:rsidR="0076476B">
        <w:t>in Triton</w:t>
      </w:r>
      <w:r w:rsidR="00750845">
        <w:t xml:space="preserve"> solution</w:t>
      </w:r>
      <w:r w:rsidR="0076476B">
        <w:t xml:space="preserve"> (0.01%</w:t>
      </w:r>
      <w:r w:rsidR="007456FE">
        <w:t xml:space="preserve"> in distilled water</w:t>
      </w:r>
      <w:r w:rsidR="0076476B">
        <w:t xml:space="preserve">). </w:t>
      </w:r>
      <w:r w:rsidR="0076476B" w:rsidRPr="0076476B">
        <w:t xml:space="preserve"> </w:t>
      </w:r>
      <w:r w:rsidR="00E025FB">
        <w:t xml:space="preserve">The </w:t>
      </w:r>
      <w:proofErr w:type="spellStart"/>
      <w:r w:rsidR="00867D21">
        <w:t>conidio</w:t>
      </w:r>
      <w:r w:rsidR="007456FE">
        <w:t>spore</w:t>
      </w:r>
      <w:proofErr w:type="spellEnd"/>
      <w:r w:rsidR="007456FE">
        <w:t xml:space="preserve"> </w:t>
      </w:r>
      <w:r w:rsidR="00E025FB">
        <w:t xml:space="preserve">suspension was </w:t>
      </w:r>
      <w:proofErr w:type="spellStart"/>
      <w:r w:rsidR="00E025FB">
        <w:t>plated</w:t>
      </w:r>
      <w:proofErr w:type="spellEnd"/>
      <w:r w:rsidR="00E025FB">
        <w:t xml:space="preserve"> on </w:t>
      </w:r>
      <w:r w:rsidR="007456FE">
        <w:t>Maltose Extract Agar (MEA</w:t>
      </w:r>
      <w:r w:rsidR="00142707">
        <w:t>, OXOID</w:t>
      </w:r>
      <w:r w:rsidR="007456FE">
        <w:t xml:space="preserve">) in Petri </w:t>
      </w:r>
      <w:r w:rsidR="00E025FB">
        <w:t xml:space="preserve">dishes </w:t>
      </w:r>
      <w:r w:rsidR="00750845">
        <w:t xml:space="preserve">and incubated at 30°C for some days. Conidia </w:t>
      </w:r>
      <w:r w:rsidR="00AE3C7A">
        <w:t>from individual</w:t>
      </w:r>
      <w:r w:rsidR="004456C8">
        <w:t xml:space="preserve"> colonies </w:t>
      </w:r>
      <w:r w:rsidR="007456FE">
        <w:t>were</w:t>
      </w:r>
      <w:r w:rsidR="004456C8">
        <w:t xml:space="preserve"> recognized as belonging to </w:t>
      </w:r>
      <w:r w:rsidR="004456C8" w:rsidRPr="00AE3C7A">
        <w:rPr>
          <w:i/>
        </w:rPr>
        <w:t xml:space="preserve">M. </w:t>
      </w:r>
      <w:proofErr w:type="spellStart"/>
      <w:r w:rsidR="004456C8" w:rsidRPr="00AE3C7A">
        <w:rPr>
          <w:i/>
        </w:rPr>
        <w:t>anisopliae</w:t>
      </w:r>
      <w:proofErr w:type="spellEnd"/>
      <w:r w:rsidR="004456C8">
        <w:t xml:space="preserve"> </w:t>
      </w:r>
      <w:r w:rsidR="00D70B6A">
        <w:t>under microscope according to the</w:t>
      </w:r>
      <w:r w:rsidR="007456FE">
        <w:t>ir</w:t>
      </w:r>
      <w:r w:rsidR="00D70B6A">
        <w:t xml:space="preserve"> morphology </w:t>
      </w:r>
      <w:r w:rsidR="00750845">
        <w:t xml:space="preserve"> and then </w:t>
      </w:r>
      <w:r w:rsidR="00D70B6A">
        <w:t>collected in Triton</w:t>
      </w:r>
      <w:r w:rsidR="00750845">
        <w:t xml:space="preserve"> solution</w:t>
      </w:r>
      <w:r w:rsidR="00D70B6A">
        <w:t xml:space="preserve">. </w:t>
      </w:r>
      <w:r w:rsidR="00750845">
        <w:t xml:space="preserve">Dilutions of spore suspension were plated on MEA and incubated at 30°C. </w:t>
      </w:r>
      <w:r w:rsidR="00D70B6A">
        <w:t>The number of - Colon</w:t>
      </w:r>
      <w:r w:rsidR="00645B2D">
        <w:t xml:space="preserve">y-Forming Units </w:t>
      </w:r>
      <w:r w:rsidR="00750845">
        <w:t>(</w:t>
      </w:r>
      <w:r w:rsidR="00645B2D">
        <w:t>CFU</w:t>
      </w:r>
      <w:r w:rsidR="00750845">
        <w:t>) were counted to determine the spore viable title (</w:t>
      </w:r>
      <w:r w:rsidR="00645B2D">
        <w:t>CFU</w:t>
      </w:r>
      <w:r w:rsidR="00750845">
        <w:t xml:space="preserve">/ml). </w:t>
      </w:r>
    </w:p>
    <w:p w:rsidR="00CC64B8" w:rsidRDefault="00CC64B8"/>
    <w:p w:rsidR="00CC64B8" w:rsidRDefault="00CC64B8">
      <w:r>
        <w:t>Determination of the Lethal dosage</w:t>
      </w:r>
      <w:r w:rsidR="00EB5C21">
        <w:t xml:space="preserve"> for foundresses and workers</w:t>
      </w:r>
    </w:p>
    <w:p w:rsidR="00CC64B8" w:rsidRDefault="00CC64B8"/>
    <w:p w:rsidR="00867D21" w:rsidRDefault="006F13CC">
      <w:r>
        <w:t xml:space="preserve">To assess the lethal dosages of </w:t>
      </w:r>
      <w:r w:rsidRPr="006F13CC">
        <w:rPr>
          <w:i/>
        </w:rPr>
        <w:t xml:space="preserve">M. </w:t>
      </w:r>
      <w:proofErr w:type="spellStart"/>
      <w:r w:rsidRPr="006F13CC">
        <w:rPr>
          <w:i/>
        </w:rPr>
        <w:t>anisopliae</w:t>
      </w:r>
      <w:proofErr w:type="spellEnd"/>
      <w:r>
        <w:t xml:space="preserve"> conidia </w:t>
      </w:r>
      <w:r w:rsidR="00D82F9F">
        <w:t xml:space="preserve">on </w:t>
      </w:r>
      <w:proofErr w:type="spellStart"/>
      <w:r w:rsidR="00D82F9F">
        <w:t>foundresses</w:t>
      </w:r>
      <w:proofErr w:type="spellEnd"/>
      <w:r w:rsidR="00D82F9F">
        <w:t xml:space="preserve">, </w:t>
      </w:r>
      <w:r>
        <w:t xml:space="preserve">we </w:t>
      </w:r>
      <w:r w:rsidR="00EB5C21">
        <w:t xml:space="preserve">prepared suspensions with different </w:t>
      </w:r>
      <w:r w:rsidR="00750845">
        <w:t xml:space="preserve">conidia </w:t>
      </w:r>
      <w:r w:rsidR="00EB5C21">
        <w:t>concentration</w:t>
      </w:r>
      <w:r w:rsidR="00D82F9F">
        <w:t>s</w:t>
      </w:r>
      <w:r w:rsidR="00EB5C21">
        <w:t xml:space="preserve"> (3</w:t>
      </w:r>
      <w:r w:rsidR="00EB5C21">
        <w:sym w:font="Symbol" w:char="F0B4"/>
      </w:r>
      <w:r w:rsidR="00EB5C21">
        <w:t>10</w:t>
      </w:r>
      <w:r w:rsidR="00EB5C21" w:rsidRPr="000A2938">
        <w:rPr>
          <w:vertAlign w:val="superscript"/>
        </w:rPr>
        <w:t>3</w:t>
      </w:r>
      <w:r w:rsidR="00EB5C21">
        <w:t>, 3</w:t>
      </w:r>
      <w:r w:rsidR="00EB5C21">
        <w:sym w:font="Symbol" w:char="F0B4"/>
      </w:r>
      <w:r w:rsidR="00EB5C21">
        <w:t>10</w:t>
      </w:r>
      <w:r w:rsidR="00EB5C21">
        <w:rPr>
          <w:vertAlign w:val="superscript"/>
        </w:rPr>
        <w:t>4</w:t>
      </w:r>
      <w:r w:rsidR="00EB5C21">
        <w:t>, 3</w:t>
      </w:r>
      <w:r w:rsidR="00EB5C21">
        <w:sym w:font="Symbol" w:char="F0B4"/>
      </w:r>
      <w:r w:rsidR="00EB5C21">
        <w:t>10</w:t>
      </w:r>
      <w:r w:rsidR="00EB5C21">
        <w:rPr>
          <w:vertAlign w:val="superscript"/>
        </w:rPr>
        <w:t>5</w:t>
      </w:r>
      <w:r w:rsidR="00EB5C21">
        <w:t>,</w:t>
      </w:r>
      <w:r w:rsidR="00EB5C21">
        <w:rPr>
          <w:vertAlign w:val="superscript"/>
        </w:rPr>
        <w:t xml:space="preserve"> </w:t>
      </w:r>
      <w:r w:rsidR="00EB5C21">
        <w:t>3</w:t>
      </w:r>
      <w:r w:rsidR="00EB5C21">
        <w:sym w:font="Symbol" w:char="F0B4"/>
      </w:r>
      <w:r w:rsidR="00EB5C21" w:rsidRPr="000A2938">
        <w:t>10</w:t>
      </w:r>
      <w:r w:rsidR="00EB5C21" w:rsidRPr="000A2938">
        <w:rPr>
          <w:vertAlign w:val="superscript"/>
        </w:rPr>
        <w:t>6</w:t>
      </w:r>
      <w:r w:rsidR="00EB5C21">
        <w:t xml:space="preserve">, </w:t>
      </w:r>
      <w:r w:rsidR="00EB5C21" w:rsidRPr="000A2938">
        <w:t>3</w:t>
      </w:r>
      <w:r w:rsidR="00EB5C21">
        <w:sym w:font="Symbol" w:char="F0B4"/>
      </w:r>
      <w:r w:rsidR="00EB5C21" w:rsidRPr="000A2938">
        <w:t>10</w:t>
      </w:r>
      <w:r w:rsidR="00EB5C21" w:rsidRPr="000A2938">
        <w:rPr>
          <w:vertAlign w:val="superscript"/>
        </w:rPr>
        <w:t>7</w:t>
      </w:r>
      <w:r w:rsidR="00EB5C21">
        <w:t xml:space="preserve"> </w:t>
      </w:r>
      <w:r w:rsidR="00645B2D">
        <w:rPr>
          <w:lang w:val="en-US"/>
        </w:rPr>
        <w:t>CFU</w:t>
      </w:r>
      <w:r w:rsidR="00EB5C21">
        <w:t>/ml)</w:t>
      </w:r>
      <w:r w:rsidR="00D82F9F">
        <w:t>,</w:t>
      </w:r>
      <w:r w:rsidR="00867D21">
        <w:t xml:space="preserve"> and a control Triton solution</w:t>
      </w:r>
      <w:r w:rsidR="00645B2D">
        <w:t>,</w:t>
      </w:r>
      <w:r w:rsidR="00D82F9F">
        <w:t xml:space="preserve"> and</w:t>
      </w:r>
      <w:r w:rsidR="00EB5C21">
        <w:t xml:space="preserve"> </w:t>
      </w:r>
      <w:r w:rsidR="00FA3609">
        <w:t xml:space="preserve">then </w:t>
      </w:r>
      <w:r w:rsidR="00EB5C21">
        <w:t xml:space="preserve">rinsed ten foundresses </w:t>
      </w:r>
      <w:r w:rsidR="00750845">
        <w:t xml:space="preserve">for 3 seconds </w:t>
      </w:r>
      <w:r w:rsidR="004A57F0">
        <w:t xml:space="preserve">in </w:t>
      </w:r>
      <w:r w:rsidR="00EB5C21">
        <w:t>each suspension</w:t>
      </w:r>
      <w:r>
        <w:t>.</w:t>
      </w:r>
    </w:p>
    <w:p w:rsidR="006F13CC" w:rsidRDefault="00D82F9F">
      <w:r>
        <w:t>A</w:t>
      </w:r>
      <w:r w:rsidR="00FA3609">
        <w:t>nts were reared in</w:t>
      </w:r>
      <w:r w:rsidR="00867D21">
        <w:t xml:space="preserve"> </w:t>
      </w:r>
      <w:r w:rsidR="00FA3609">
        <w:t xml:space="preserve">the darkness in a </w:t>
      </w:r>
      <w:r w:rsidR="00867D21">
        <w:t>t</w:t>
      </w:r>
      <w:r w:rsidR="00FA3609">
        <w:t>h</w:t>
      </w:r>
      <w:r w:rsidR="00867D21">
        <w:t xml:space="preserve">ermostatic room </w:t>
      </w:r>
      <w:r w:rsidR="00FA3609">
        <w:t>(</w:t>
      </w:r>
      <w:r w:rsidR="00867D21">
        <w:t>20°C-25</w:t>
      </w:r>
      <w:r w:rsidR="00867D21" w:rsidRPr="004A4F2B">
        <w:t>°C temperature, 80% humidity)</w:t>
      </w:r>
      <w:r w:rsidR="00FA3609">
        <w:t xml:space="preserve">. </w:t>
      </w:r>
      <w:r w:rsidR="00867D21">
        <w:t>To facilitate the germination of the spores, the foun</w:t>
      </w:r>
      <w:r w:rsidR="00FA3609">
        <w:t>dresses</w:t>
      </w:r>
      <w:r w:rsidR="00867D21">
        <w:t xml:space="preserve"> </w:t>
      </w:r>
      <w:r>
        <w:t xml:space="preserve">were </w:t>
      </w:r>
      <w:r w:rsidR="00867D21">
        <w:t xml:space="preserve">kept at 100% humidity during the first two days (cit). </w:t>
      </w:r>
      <w:r w:rsidR="006F13CC">
        <w:t xml:space="preserve"> </w:t>
      </w:r>
      <w:r w:rsidR="00EB5C21">
        <w:t xml:space="preserve">After 14 days, </w:t>
      </w:r>
      <w:r w:rsidR="006F13CC">
        <w:t xml:space="preserve">we evaluated the mortality of the foundresses </w:t>
      </w:r>
      <w:r>
        <w:t xml:space="preserve">revealing </w:t>
      </w:r>
      <w:r w:rsidR="00867D21">
        <w:t>the following values</w:t>
      </w:r>
      <w:r w:rsidR="006F13CC">
        <w:t>:</w:t>
      </w:r>
    </w:p>
    <w:p w:rsidR="00867D21" w:rsidRDefault="00867D21">
      <w:r>
        <w:t>Triton solution = 0%</w:t>
      </w:r>
    </w:p>
    <w:p w:rsidR="006F13CC" w:rsidRPr="00A074BA" w:rsidRDefault="006F13CC">
      <w:pPr>
        <w:rPr>
          <w:lang w:val="en-US"/>
        </w:rPr>
      </w:pPr>
      <w:r w:rsidRPr="00A074BA">
        <w:rPr>
          <w:lang w:val="en-US"/>
        </w:rPr>
        <w:t>3</w:t>
      </w:r>
      <w:r>
        <w:sym w:font="Symbol" w:char="F0B4"/>
      </w:r>
      <w:r w:rsidRPr="00A074BA">
        <w:rPr>
          <w:lang w:val="en-US"/>
        </w:rPr>
        <w:t>10</w:t>
      </w:r>
      <w:r w:rsidRPr="00A074BA">
        <w:rPr>
          <w:vertAlign w:val="superscript"/>
          <w:lang w:val="en-US"/>
        </w:rPr>
        <w:t>3</w:t>
      </w:r>
      <w:r w:rsidR="003B255E" w:rsidRPr="00A074BA">
        <w:rPr>
          <w:lang w:val="en-US"/>
        </w:rPr>
        <w:t xml:space="preserve"> </w:t>
      </w:r>
      <w:r w:rsidR="00645B2D" w:rsidRPr="00A074BA">
        <w:rPr>
          <w:lang w:val="en-US"/>
        </w:rPr>
        <w:t>CFU</w:t>
      </w:r>
      <w:r w:rsidR="003B255E" w:rsidRPr="00A074BA">
        <w:rPr>
          <w:lang w:val="en-US"/>
        </w:rPr>
        <w:t xml:space="preserve">/ml </w:t>
      </w:r>
      <w:r w:rsidRPr="00A074BA">
        <w:rPr>
          <w:lang w:val="en-US"/>
        </w:rPr>
        <w:t>=</w:t>
      </w:r>
      <w:r w:rsidR="003B255E" w:rsidRPr="00A074BA">
        <w:rPr>
          <w:lang w:val="en-US"/>
        </w:rPr>
        <w:t xml:space="preserve"> </w:t>
      </w:r>
      <w:r w:rsidR="000D08C0" w:rsidRPr="00A074BA">
        <w:rPr>
          <w:lang w:val="en-US"/>
        </w:rPr>
        <w:t>0%</w:t>
      </w:r>
    </w:p>
    <w:p w:rsidR="006F13CC" w:rsidRPr="00A074BA" w:rsidRDefault="006F13CC">
      <w:pPr>
        <w:rPr>
          <w:lang w:val="en-US"/>
        </w:rPr>
      </w:pPr>
      <w:r w:rsidRPr="00A074BA">
        <w:rPr>
          <w:lang w:val="en-US"/>
        </w:rPr>
        <w:t>3</w:t>
      </w:r>
      <w:r>
        <w:sym w:font="Symbol" w:char="F0B4"/>
      </w:r>
      <w:r w:rsidRPr="00A074BA">
        <w:rPr>
          <w:lang w:val="en-US"/>
        </w:rPr>
        <w:t>10</w:t>
      </w:r>
      <w:r w:rsidRPr="00A074BA">
        <w:rPr>
          <w:vertAlign w:val="superscript"/>
          <w:lang w:val="en-US"/>
        </w:rPr>
        <w:t>4</w:t>
      </w:r>
      <w:r w:rsidR="003B255E" w:rsidRPr="00A074BA">
        <w:rPr>
          <w:lang w:val="en-US"/>
        </w:rPr>
        <w:t xml:space="preserve"> </w:t>
      </w:r>
      <w:r w:rsidR="00645B2D" w:rsidRPr="00A074BA">
        <w:rPr>
          <w:lang w:val="en-US"/>
        </w:rPr>
        <w:t>CFU</w:t>
      </w:r>
      <w:r w:rsidR="003B255E" w:rsidRPr="00A074BA">
        <w:rPr>
          <w:lang w:val="en-US"/>
        </w:rPr>
        <w:t xml:space="preserve">/ml </w:t>
      </w:r>
      <w:r w:rsidR="000D08C0" w:rsidRPr="00A074BA">
        <w:rPr>
          <w:lang w:val="en-US"/>
        </w:rPr>
        <w:t>=</w:t>
      </w:r>
      <w:r w:rsidR="003B255E" w:rsidRPr="00A074BA">
        <w:rPr>
          <w:lang w:val="en-US"/>
        </w:rPr>
        <w:t xml:space="preserve"> </w:t>
      </w:r>
      <w:r w:rsidR="000D08C0" w:rsidRPr="00A074BA">
        <w:rPr>
          <w:lang w:val="en-US"/>
        </w:rPr>
        <w:t>20%</w:t>
      </w:r>
    </w:p>
    <w:p w:rsidR="006F13CC" w:rsidRPr="001D7FE3" w:rsidRDefault="006F13CC">
      <w:r w:rsidRPr="001D7FE3">
        <w:t>3</w:t>
      </w:r>
      <w:r>
        <w:sym w:font="Symbol" w:char="F0B4"/>
      </w:r>
      <w:r w:rsidRPr="001D7FE3">
        <w:t>10</w:t>
      </w:r>
      <w:r w:rsidRPr="001D7FE3">
        <w:rPr>
          <w:vertAlign w:val="superscript"/>
        </w:rPr>
        <w:t>5</w:t>
      </w:r>
      <w:r w:rsidR="003B255E" w:rsidRPr="001D7FE3">
        <w:t xml:space="preserve"> </w:t>
      </w:r>
      <w:r w:rsidR="00645B2D" w:rsidRPr="001D7FE3">
        <w:t>CFU</w:t>
      </w:r>
      <w:r w:rsidR="003B255E" w:rsidRPr="001D7FE3">
        <w:t xml:space="preserve">/ml </w:t>
      </w:r>
      <w:r w:rsidR="000D08C0" w:rsidRPr="001D7FE3">
        <w:t>=</w:t>
      </w:r>
      <w:r w:rsidR="003B255E" w:rsidRPr="001D7FE3">
        <w:t xml:space="preserve"> </w:t>
      </w:r>
      <w:r w:rsidR="000D08C0" w:rsidRPr="001D7FE3">
        <w:t>10%</w:t>
      </w:r>
    </w:p>
    <w:p w:rsidR="006F13CC" w:rsidRPr="001D7FE3" w:rsidRDefault="006F13CC">
      <w:r w:rsidRPr="001D7FE3">
        <w:t>3</w:t>
      </w:r>
      <w:r>
        <w:sym w:font="Symbol" w:char="F0B4"/>
      </w:r>
      <w:r w:rsidRPr="001D7FE3">
        <w:t>10</w:t>
      </w:r>
      <w:r w:rsidRPr="001D7FE3">
        <w:rPr>
          <w:vertAlign w:val="superscript"/>
        </w:rPr>
        <w:t>6</w:t>
      </w:r>
      <w:r w:rsidR="003B255E" w:rsidRPr="001D7FE3">
        <w:t xml:space="preserve"> </w:t>
      </w:r>
      <w:r w:rsidR="00645B2D" w:rsidRPr="001D7FE3">
        <w:t>CFU</w:t>
      </w:r>
      <w:r w:rsidR="003B255E" w:rsidRPr="001D7FE3">
        <w:t xml:space="preserve">/ml </w:t>
      </w:r>
      <w:r w:rsidR="000D08C0" w:rsidRPr="001D7FE3">
        <w:t>=</w:t>
      </w:r>
      <w:r w:rsidR="003B255E" w:rsidRPr="001D7FE3">
        <w:t xml:space="preserve"> </w:t>
      </w:r>
      <w:r w:rsidR="000D08C0" w:rsidRPr="001D7FE3">
        <w:t>20%</w:t>
      </w:r>
    </w:p>
    <w:p w:rsidR="006F13CC" w:rsidRPr="001D7FE3" w:rsidRDefault="006F13CC">
      <w:r w:rsidRPr="001D7FE3">
        <w:t>3</w:t>
      </w:r>
      <w:r>
        <w:sym w:font="Symbol" w:char="F0B4"/>
      </w:r>
      <w:r w:rsidRPr="001D7FE3">
        <w:t>10</w:t>
      </w:r>
      <w:r w:rsidRPr="001D7FE3">
        <w:rPr>
          <w:vertAlign w:val="superscript"/>
        </w:rPr>
        <w:t>7</w:t>
      </w:r>
      <w:r w:rsidR="003B255E" w:rsidRPr="001D7FE3">
        <w:t xml:space="preserve"> </w:t>
      </w:r>
      <w:r w:rsidR="00645B2D" w:rsidRPr="001D7FE3">
        <w:t>CFU</w:t>
      </w:r>
      <w:r w:rsidR="003B255E" w:rsidRPr="001D7FE3">
        <w:t xml:space="preserve">/ml </w:t>
      </w:r>
      <w:r w:rsidR="000D08C0" w:rsidRPr="001D7FE3">
        <w:t>=</w:t>
      </w:r>
      <w:r w:rsidR="003B255E" w:rsidRPr="001D7FE3">
        <w:t xml:space="preserve"> </w:t>
      </w:r>
      <w:r w:rsidR="000D08C0" w:rsidRPr="001D7FE3">
        <w:t>50%</w:t>
      </w:r>
    </w:p>
    <w:p w:rsidR="000D08C0" w:rsidRDefault="000D08C0">
      <w:r>
        <w:t>Although the concentration of 3</w:t>
      </w:r>
      <w:r>
        <w:sym w:font="Symbol" w:char="F0B4"/>
      </w:r>
      <w:r>
        <w:t>10</w:t>
      </w:r>
      <w:r>
        <w:rPr>
          <w:vertAlign w:val="superscript"/>
        </w:rPr>
        <w:t>4</w:t>
      </w:r>
      <w:r>
        <w:t xml:space="preserve"> </w:t>
      </w:r>
      <w:r w:rsidR="00645B2D">
        <w:rPr>
          <w:lang w:val="en-US"/>
        </w:rPr>
        <w:t>CFU</w:t>
      </w:r>
      <w:r w:rsidR="004A57F0">
        <w:t xml:space="preserve">/ml </w:t>
      </w:r>
      <w:r>
        <w:t>resulted in a mortality of 20%, the comparison of the other values suggested that 3</w:t>
      </w:r>
      <w:r>
        <w:sym w:font="Symbol" w:char="F0B4"/>
      </w:r>
      <w:r>
        <w:t>10</w:t>
      </w:r>
      <w:r>
        <w:rPr>
          <w:vertAlign w:val="superscript"/>
        </w:rPr>
        <w:t>5</w:t>
      </w:r>
      <w:r>
        <w:t xml:space="preserve"> </w:t>
      </w:r>
      <w:r w:rsidR="00645B2D">
        <w:rPr>
          <w:lang w:val="en-US"/>
        </w:rPr>
        <w:t>CFU</w:t>
      </w:r>
      <w:r w:rsidR="00FA3609">
        <w:t xml:space="preserve">/ml </w:t>
      </w:r>
      <w:r>
        <w:t>can be considered a</w:t>
      </w:r>
      <w:r w:rsidR="00FA3609">
        <w:t xml:space="preserve"> reliable</w:t>
      </w:r>
      <w:r>
        <w:t xml:space="preserve"> LD10, and </w:t>
      </w:r>
      <w:r w:rsidR="00D82F9F">
        <w:t xml:space="preserve">thus </w:t>
      </w:r>
      <w:r>
        <w:t xml:space="preserve">it </w:t>
      </w:r>
      <w:r w:rsidR="004A57F0">
        <w:t>was</w:t>
      </w:r>
      <w:r>
        <w:t xml:space="preserve"> used as </w:t>
      </w:r>
      <w:r w:rsidR="00D82F9F">
        <w:t xml:space="preserve">the </w:t>
      </w:r>
      <w:r>
        <w:t>low-dosage to expose foundresses.</w:t>
      </w:r>
    </w:p>
    <w:p w:rsidR="000D08C0" w:rsidRDefault="000D08C0"/>
    <w:p w:rsidR="00C501A6" w:rsidRDefault="007A2594">
      <w:r>
        <w:t xml:space="preserve">On </w:t>
      </w:r>
      <w:r w:rsidR="00B14310">
        <w:t>January 30</w:t>
      </w:r>
      <w:r w:rsidR="00B14310" w:rsidRPr="00B14310">
        <w:rPr>
          <w:vertAlign w:val="superscript"/>
        </w:rPr>
        <w:t>th</w:t>
      </w:r>
      <w:r w:rsidR="00B14310">
        <w:t xml:space="preserve"> w</w:t>
      </w:r>
      <w:r>
        <w:t xml:space="preserve">e treated </w:t>
      </w:r>
      <w:r w:rsidR="00B14310">
        <w:t>2</w:t>
      </w:r>
      <w:r>
        <w:t>0 foundresses with Triton</w:t>
      </w:r>
      <w:r w:rsidR="004A57F0">
        <w:t xml:space="preserve"> solution</w:t>
      </w:r>
      <w:r>
        <w:t xml:space="preserve"> </w:t>
      </w:r>
      <w:r w:rsidR="00B14310">
        <w:t xml:space="preserve">(0.01%) </w:t>
      </w:r>
      <w:r>
        <w:t xml:space="preserve">and allowed them to found colonies </w:t>
      </w:r>
      <w:r w:rsidR="00B14310">
        <w:t>in spring condition</w:t>
      </w:r>
      <w:r w:rsidR="00D82F9F">
        <w:t>s</w:t>
      </w:r>
      <w:r w:rsidR="00B14310">
        <w:t xml:space="preserve"> </w:t>
      </w:r>
      <w:r w:rsidR="00B14310" w:rsidRPr="004A4F2B">
        <w:t>(</w:t>
      </w:r>
      <w:r w:rsidR="00FA3609">
        <w:t>darkness</w:t>
      </w:r>
      <w:r w:rsidR="00B14310" w:rsidRPr="004A4F2B">
        <w:t>, 25°C-18°C temperature, 80% humidity)</w:t>
      </w:r>
      <w:r w:rsidR="00B14310">
        <w:t xml:space="preserve">. </w:t>
      </w:r>
      <w:r w:rsidR="00BB1F1C" w:rsidRPr="00852476">
        <w:t>In each colony, at the emergence of the first worker</w:t>
      </w:r>
      <w:r w:rsidR="00BB1F1C">
        <w:t>,</w:t>
      </w:r>
      <w:r w:rsidR="00BB1F1C" w:rsidRPr="00852476">
        <w:t xml:space="preserve"> we added a plast</w:t>
      </w:r>
      <w:r w:rsidR="00BB1F1C">
        <w:t xml:space="preserve">ic petri dish (5cm </w:t>
      </w:r>
      <w:r w:rsidR="00BB1F1C" w:rsidRPr="00852476">
        <w:t>diameter</w:t>
      </w:r>
      <w:r w:rsidR="00BB1F1C">
        <w:t>)</w:t>
      </w:r>
      <w:r w:rsidR="00BB1F1C" w:rsidRPr="00852476">
        <w:t xml:space="preserve"> where we supplied </w:t>
      </w:r>
      <w:r w:rsidR="00BB1F1C" w:rsidRPr="00852476">
        <w:rPr>
          <w:i/>
        </w:rPr>
        <w:t>ad libitum</w:t>
      </w:r>
      <w:r w:rsidR="00BB1F1C" w:rsidRPr="00852476">
        <w:t xml:space="preserve"> water, </w:t>
      </w:r>
      <w:r w:rsidR="00D82F9F">
        <w:t>sugar and chopped dry dog food. W</w:t>
      </w:r>
      <w:r w:rsidR="00BB1F1C">
        <w:t xml:space="preserve">e covered the queen chamber with </w:t>
      </w:r>
      <w:r w:rsidR="001D7FE3">
        <w:t>aluminium</w:t>
      </w:r>
      <w:r w:rsidR="00BB1F1C">
        <w:t xml:space="preserve"> foil to maintain darkness, while we exposed the foraging chamber to a 12-12h LD cycle. </w:t>
      </w:r>
      <w:r w:rsidR="00D82F9F">
        <w:t>On May 23</w:t>
      </w:r>
      <w:r w:rsidR="00D82F9F" w:rsidRPr="00D82F9F">
        <w:rPr>
          <w:vertAlign w:val="superscript"/>
        </w:rPr>
        <w:t>rd</w:t>
      </w:r>
      <w:r w:rsidR="00D82F9F">
        <w:t xml:space="preserve"> </w:t>
      </w:r>
      <w:r w:rsidR="00C501A6">
        <w:t>we collected 3</w:t>
      </w:r>
      <w:r w:rsidR="003B255E">
        <w:t xml:space="preserve">0 workers and </w:t>
      </w:r>
      <w:r w:rsidR="000D08C0">
        <w:t xml:space="preserve">we assessed the </w:t>
      </w:r>
      <w:proofErr w:type="spellStart"/>
      <w:r w:rsidR="008E49AB" w:rsidRPr="008E49AB">
        <w:rPr>
          <w:i/>
        </w:rPr>
        <w:t>Metarhizium</w:t>
      </w:r>
      <w:proofErr w:type="spellEnd"/>
      <w:r w:rsidR="00142707">
        <w:t xml:space="preserve"> </w:t>
      </w:r>
      <w:r w:rsidR="000D08C0">
        <w:t xml:space="preserve">lethal dosage </w:t>
      </w:r>
      <w:r w:rsidR="004A57F0">
        <w:t xml:space="preserve">by rinsing ten workers in each of </w:t>
      </w:r>
      <w:r w:rsidR="00A514B3">
        <w:t xml:space="preserve">the following </w:t>
      </w:r>
      <w:r w:rsidR="00142707">
        <w:t xml:space="preserve">spore </w:t>
      </w:r>
      <w:r w:rsidR="00A514B3">
        <w:t>suspensions</w:t>
      </w:r>
      <w:r w:rsidR="00645B2D">
        <w:t>:</w:t>
      </w:r>
      <w:r w:rsidR="00A514B3">
        <w:t xml:space="preserve"> </w:t>
      </w:r>
    </w:p>
    <w:p w:rsidR="000D08C0" w:rsidRPr="00B9617F" w:rsidRDefault="000D08C0">
      <w:pPr>
        <w:rPr>
          <w:vertAlign w:val="superscript"/>
          <w:lang w:val="it-IT"/>
        </w:rPr>
      </w:pPr>
      <w:r w:rsidRPr="00B9617F">
        <w:rPr>
          <w:lang w:val="it-IT"/>
        </w:rPr>
        <w:t>3</w:t>
      </w:r>
      <w:r>
        <w:sym w:font="Symbol" w:char="F0B4"/>
      </w:r>
      <w:r w:rsidRPr="00B9617F">
        <w:rPr>
          <w:lang w:val="it-IT"/>
        </w:rPr>
        <w:t>10</w:t>
      </w:r>
      <w:r w:rsidRPr="00B9617F">
        <w:rPr>
          <w:vertAlign w:val="superscript"/>
          <w:lang w:val="it-IT"/>
        </w:rPr>
        <w:t>3</w:t>
      </w:r>
      <w:r w:rsidR="003B255E" w:rsidRPr="00B9617F">
        <w:rPr>
          <w:lang w:val="it-IT"/>
        </w:rPr>
        <w:t xml:space="preserve"> </w:t>
      </w:r>
      <w:r w:rsidR="00645B2D" w:rsidRPr="00A074BA">
        <w:rPr>
          <w:lang w:val="it-IT"/>
        </w:rPr>
        <w:t>CFU</w:t>
      </w:r>
      <w:r w:rsidR="003B255E" w:rsidRPr="00B9617F">
        <w:rPr>
          <w:lang w:val="it-IT"/>
        </w:rPr>
        <w:t xml:space="preserve">/ml </w:t>
      </w:r>
      <w:r w:rsidR="00B9617F" w:rsidRPr="00B9617F">
        <w:rPr>
          <w:lang w:val="it-IT"/>
        </w:rPr>
        <w:t>=</w:t>
      </w:r>
      <w:r w:rsidR="00DF17BE">
        <w:rPr>
          <w:lang w:val="it-IT"/>
        </w:rPr>
        <w:t xml:space="preserve"> 20%</w:t>
      </w:r>
    </w:p>
    <w:p w:rsidR="00B9617F" w:rsidRPr="00B9617F" w:rsidRDefault="000D08C0">
      <w:pPr>
        <w:rPr>
          <w:lang w:val="it-IT"/>
        </w:rPr>
      </w:pPr>
      <w:r w:rsidRPr="00B9617F">
        <w:rPr>
          <w:lang w:val="it-IT"/>
        </w:rPr>
        <w:t>3</w:t>
      </w:r>
      <w:r>
        <w:sym w:font="Symbol" w:char="F0B4"/>
      </w:r>
      <w:r w:rsidRPr="00B9617F">
        <w:rPr>
          <w:lang w:val="it-IT"/>
        </w:rPr>
        <w:t>10</w:t>
      </w:r>
      <w:r w:rsidRPr="00B9617F">
        <w:rPr>
          <w:vertAlign w:val="superscript"/>
          <w:lang w:val="it-IT"/>
        </w:rPr>
        <w:t>4</w:t>
      </w:r>
      <w:r w:rsidR="003B255E" w:rsidRPr="00B9617F">
        <w:rPr>
          <w:lang w:val="it-IT"/>
        </w:rPr>
        <w:t xml:space="preserve"> </w:t>
      </w:r>
      <w:r w:rsidR="00645B2D" w:rsidRPr="00A074BA">
        <w:rPr>
          <w:lang w:val="it-IT"/>
        </w:rPr>
        <w:t>CFU</w:t>
      </w:r>
      <w:r w:rsidR="003B255E" w:rsidRPr="00B9617F">
        <w:rPr>
          <w:lang w:val="it-IT"/>
        </w:rPr>
        <w:t>/ml</w:t>
      </w:r>
      <w:r w:rsidR="00B9617F" w:rsidRPr="00B9617F">
        <w:rPr>
          <w:lang w:val="it-IT"/>
        </w:rPr>
        <w:t xml:space="preserve"> =</w:t>
      </w:r>
      <w:r w:rsidR="00DF17BE">
        <w:rPr>
          <w:lang w:val="it-IT"/>
        </w:rPr>
        <w:t xml:space="preserve"> 80%</w:t>
      </w:r>
    </w:p>
    <w:p w:rsidR="000D08C0" w:rsidRDefault="000D08C0">
      <w:pPr>
        <w:rPr>
          <w:lang w:val="it-IT"/>
        </w:rPr>
      </w:pPr>
      <w:r w:rsidRPr="00B9617F">
        <w:rPr>
          <w:lang w:val="it-IT"/>
        </w:rPr>
        <w:t>3</w:t>
      </w:r>
      <w:r>
        <w:sym w:font="Symbol" w:char="F0B4"/>
      </w:r>
      <w:r w:rsidRPr="00B9617F">
        <w:rPr>
          <w:lang w:val="it-IT"/>
        </w:rPr>
        <w:t>10</w:t>
      </w:r>
      <w:r w:rsidRPr="00B9617F">
        <w:rPr>
          <w:vertAlign w:val="superscript"/>
          <w:lang w:val="it-IT"/>
        </w:rPr>
        <w:t>5</w:t>
      </w:r>
      <w:r w:rsidRPr="00B9617F">
        <w:rPr>
          <w:lang w:val="it-IT"/>
        </w:rPr>
        <w:t xml:space="preserve"> </w:t>
      </w:r>
      <w:r w:rsidR="00645B2D" w:rsidRPr="00A074BA">
        <w:rPr>
          <w:lang w:val="it-IT"/>
        </w:rPr>
        <w:t>CFU</w:t>
      </w:r>
      <w:r w:rsidRPr="00B9617F">
        <w:rPr>
          <w:lang w:val="it-IT"/>
        </w:rPr>
        <w:t xml:space="preserve">/ml </w:t>
      </w:r>
      <w:r w:rsidR="00B9617F" w:rsidRPr="00B9617F">
        <w:rPr>
          <w:lang w:val="it-IT"/>
        </w:rPr>
        <w:t xml:space="preserve">= </w:t>
      </w:r>
      <w:r w:rsidR="00DF17BE">
        <w:rPr>
          <w:lang w:val="it-IT"/>
        </w:rPr>
        <w:t>90%</w:t>
      </w:r>
    </w:p>
    <w:p w:rsidR="000D08C0" w:rsidRDefault="00C501A6" w:rsidP="00BB1F1C">
      <w:pPr>
        <w:rPr>
          <w:lang w:val="en-US"/>
        </w:rPr>
      </w:pPr>
      <w:r w:rsidRPr="009D0007">
        <w:rPr>
          <w:lang w:val="en-US"/>
        </w:rPr>
        <w:t xml:space="preserve">We used the </w:t>
      </w:r>
      <w:r w:rsidR="008E49AB" w:rsidRPr="008E49AB">
        <w:rPr>
          <w:lang w:val="en-US"/>
        </w:rPr>
        <w:t>3</w:t>
      </w:r>
      <w:r w:rsidR="00324B97">
        <w:sym w:font="Symbol" w:char="F0B4"/>
      </w:r>
      <w:r w:rsidR="008E49AB" w:rsidRPr="008E49AB">
        <w:rPr>
          <w:lang w:val="en-US"/>
        </w:rPr>
        <w:t>10</w:t>
      </w:r>
      <w:r w:rsidR="008E49AB" w:rsidRPr="008E49AB">
        <w:rPr>
          <w:vertAlign w:val="superscript"/>
          <w:lang w:val="en-US"/>
        </w:rPr>
        <w:t>4</w:t>
      </w:r>
      <w:r w:rsidR="008E49AB" w:rsidRPr="008E49AB">
        <w:rPr>
          <w:lang w:val="en-US"/>
        </w:rPr>
        <w:t xml:space="preserve"> </w:t>
      </w:r>
      <w:r w:rsidR="00645B2D">
        <w:rPr>
          <w:lang w:val="en-US"/>
        </w:rPr>
        <w:t>CFU</w:t>
      </w:r>
      <w:r w:rsidR="00324B97" w:rsidRPr="00324B97">
        <w:rPr>
          <w:lang w:val="en-US"/>
        </w:rPr>
        <w:t xml:space="preserve">/ml </w:t>
      </w:r>
      <w:r w:rsidR="00324B97">
        <w:rPr>
          <w:lang w:val="en-US"/>
        </w:rPr>
        <w:t xml:space="preserve">as </w:t>
      </w:r>
      <w:r w:rsidRPr="009D0007">
        <w:rPr>
          <w:lang w:val="en-US"/>
        </w:rPr>
        <w:t xml:space="preserve">LD80 suspension for </w:t>
      </w:r>
      <w:r w:rsidR="009D0007" w:rsidRPr="009D0007">
        <w:rPr>
          <w:lang w:val="en-US"/>
        </w:rPr>
        <w:t>the challenges</w:t>
      </w:r>
      <w:r w:rsidR="00BB1F1C">
        <w:rPr>
          <w:lang w:val="en-US"/>
        </w:rPr>
        <w:t>.</w:t>
      </w:r>
    </w:p>
    <w:tbl>
      <w:tblPr>
        <w:tblStyle w:val="Grigliatabella"/>
        <w:tblW w:w="0" w:type="auto"/>
        <w:tblLook w:val="04A0"/>
      </w:tblPr>
      <w:tblGrid>
        <w:gridCol w:w="1605"/>
        <w:gridCol w:w="1239"/>
        <w:gridCol w:w="1531"/>
        <w:gridCol w:w="1531"/>
        <w:gridCol w:w="1587"/>
        <w:gridCol w:w="1517"/>
      </w:tblGrid>
      <w:tr w:rsidR="00101256" w:rsidTr="00101256">
        <w:trPr>
          <w:trHeight w:val="908"/>
        </w:trPr>
        <w:tc>
          <w:tcPr>
            <w:tcW w:w="1605" w:type="dxa"/>
          </w:tcPr>
          <w:p w:rsidR="00101256" w:rsidRDefault="00101256" w:rsidP="00BB1F1C">
            <w:pPr>
              <w:rPr>
                <w:lang w:val="en-US"/>
              </w:rPr>
            </w:pPr>
            <w:r>
              <w:rPr>
                <w:lang w:val="en-US"/>
              </w:rPr>
              <w:lastRenderedPageBreak/>
              <w:t>Treatment</w:t>
            </w:r>
          </w:p>
        </w:tc>
        <w:tc>
          <w:tcPr>
            <w:tcW w:w="1239" w:type="dxa"/>
          </w:tcPr>
          <w:p w:rsidR="00101256" w:rsidRDefault="00101256" w:rsidP="00774B92">
            <w:pPr>
              <w:rPr>
                <w:lang w:val="en-US"/>
              </w:rPr>
            </w:pPr>
            <w:r>
              <w:rPr>
                <w:lang w:val="en-US"/>
              </w:rPr>
              <w:t>n</w:t>
            </w:r>
          </w:p>
        </w:tc>
        <w:tc>
          <w:tcPr>
            <w:tcW w:w="1531" w:type="dxa"/>
          </w:tcPr>
          <w:p w:rsidR="00101256" w:rsidRDefault="00101256" w:rsidP="00101256">
            <w:pPr>
              <w:rPr>
                <w:lang w:val="en-US"/>
              </w:rPr>
            </w:pPr>
            <w:r>
              <w:rPr>
                <w:lang w:val="en-US"/>
              </w:rPr>
              <w:t xml:space="preserve">Dead claustral </w:t>
            </w:r>
          </w:p>
        </w:tc>
        <w:tc>
          <w:tcPr>
            <w:tcW w:w="1531" w:type="dxa"/>
          </w:tcPr>
          <w:p w:rsidR="00101256" w:rsidRDefault="00101256" w:rsidP="00101256">
            <w:pPr>
              <w:rPr>
                <w:lang w:val="en-US"/>
              </w:rPr>
            </w:pPr>
            <w:r>
              <w:rPr>
                <w:lang w:val="en-US"/>
              </w:rPr>
              <w:t xml:space="preserve">Live claustral </w:t>
            </w:r>
          </w:p>
        </w:tc>
        <w:tc>
          <w:tcPr>
            <w:tcW w:w="1587" w:type="dxa"/>
          </w:tcPr>
          <w:p w:rsidR="00101256" w:rsidRDefault="00101256" w:rsidP="00BB1F1C">
            <w:pPr>
              <w:rPr>
                <w:lang w:val="en-US"/>
              </w:rPr>
            </w:pPr>
            <w:r>
              <w:rPr>
                <w:lang w:val="en-US"/>
              </w:rPr>
              <w:t>Producing suitable workers</w:t>
            </w:r>
          </w:p>
        </w:tc>
        <w:tc>
          <w:tcPr>
            <w:tcW w:w="1517" w:type="dxa"/>
          </w:tcPr>
          <w:p w:rsidR="00101256" w:rsidRDefault="00101256" w:rsidP="00DA3F81">
            <w:pPr>
              <w:rPr>
                <w:lang w:val="en-US"/>
              </w:rPr>
            </w:pPr>
            <w:r>
              <w:rPr>
                <w:lang w:val="en-US"/>
              </w:rPr>
              <w:t xml:space="preserve">mean workers </w:t>
            </w:r>
            <w:r>
              <w:rPr>
                <w:lang w:val="en-US"/>
              </w:rPr>
              <w:sym w:font="Symbol" w:char="F0B1"/>
            </w:r>
            <w:r>
              <w:rPr>
                <w:lang w:val="en-US"/>
              </w:rPr>
              <w:t xml:space="preserve"> </w:t>
            </w:r>
            <w:proofErr w:type="spellStart"/>
            <w:r>
              <w:rPr>
                <w:lang w:val="en-US"/>
              </w:rPr>
              <w:t>s.d</w:t>
            </w:r>
            <w:proofErr w:type="spellEnd"/>
            <w:r>
              <w:rPr>
                <w:lang w:val="en-US"/>
              </w:rPr>
              <w:t>.</w:t>
            </w:r>
          </w:p>
        </w:tc>
      </w:tr>
      <w:tr w:rsidR="00101256" w:rsidTr="00101256">
        <w:trPr>
          <w:trHeight w:val="350"/>
        </w:trPr>
        <w:tc>
          <w:tcPr>
            <w:tcW w:w="1605" w:type="dxa"/>
          </w:tcPr>
          <w:p w:rsidR="00101256" w:rsidRDefault="00101256" w:rsidP="00BB1F1C">
            <w:pPr>
              <w:rPr>
                <w:lang w:val="en-US"/>
              </w:rPr>
            </w:pPr>
            <w:r>
              <w:rPr>
                <w:lang w:val="en-US"/>
              </w:rPr>
              <w:t>Triton</w:t>
            </w:r>
          </w:p>
        </w:tc>
        <w:tc>
          <w:tcPr>
            <w:tcW w:w="1239" w:type="dxa"/>
          </w:tcPr>
          <w:p w:rsidR="00101256" w:rsidRDefault="00101256" w:rsidP="00BB1F1C">
            <w:pPr>
              <w:rPr>
                <w:lang w:val="en-US"/>
              </w:rPr>
            </w:pPr>
            <w:r>
              <w:rPr>
                <w:lang w:val="en-US"/>
              </w:rPr>
              <w:t>35</w:t>
            </w:r>
          </w:p>
        </w:tc>
        <w:tc>
          <w:tcPr>
            <w:tcW w:w="1531" w:type="dxa"/>
          </w:tcPr>
          <w:p w:rsidR="00101256" w:rsidRDefault="00101256" w:rsidP="00BB1F1C">
            <w:pPr>
              <w:rPr>
                <w:lang w:val="en-US"/>
              </w:rPr>
            </w:pPr>
            <w:r>
              <w:rPr>
                <w:lang w:val="en-US"/>
              </w:rPr>
              <w:t>6</w:t>
            </w:r>
          </w:p>
        </w:tc>
        <w:tc>
          <w:tcPr>
            <w:tcW w:w="1531" w:type="dxa"/>
          </w:tcPr>
          <w:p w:rsidR="00101256" w:rsidRDefault="00101256" w:rsidP="00BB1F1C">
            <w:pPr>
              <w:rPr>
                <w:lang w:val="en-US"/>
              </w:rPr>
            </w:pPr>
            <w:r>
              <w:rPr>
                <w:lang w:val="en-US"/>
              </w:rPr>
              <w:t>3</w:t>
            </w:r>
          </w:p>
        </w:tc>
        <w:tc>
          <w:tcPr>
            <w:tcW w:w="1587" w:type="dxa"/>
          </w:tcPr>
          <w:p w:rsidR="00101256" w:rsidRDefault="00101256" w:rsidP="00BB1F1C">
            <w:pPr>
              <w:rPr>
                <w:lang w:val="en-US"/>
              </w:rPr>
            </w:pPr>
            <w:r>
              <w:rPr>
                <w:lang w:val="en-US"/>
              </w:rPr>
              <w:t>20</w:t>
            </w:r>
          </w:p>
        </w:tc>
        <w:tc>
          <w:tcPr>
            <w:tcW w:w="1517" w:type="dxa"/>
          </w:tcPr>
          <w:p w:rsidR="00101256" w:rsidRDefault="00101256" w:rsidP="00BB1F1C">
            <w:pPr>
              <w:rPr>
                <w:lang w:val="en-US"/>
              </w:rPr>
            </w:pPr>
            <w:r>
              <w:rPr>
                <w:lang w:val="en-US"/>
              </w:rPr>
              <w:t>3.2</w:t>
            </w:r>
            <w:r>
              <w:rPr>
                <w:lang w:val="en-US"/>
              </w:rPr>
              <w:sym w:font="Symbol" w:char="F0B1"/>
            </w:r>
            <w:r>
              <w:rPr>
                <w:lang w:val="en-US"/>
              </w:rPr>
              <w:t>1.7</w:t>
            </w:r>
          </w:p>
        </w:tc>
      </w:tr>
      <w:tr w:rsidR="00101256" w:rsidTr="00101256">
        <w:tc>
          <w:tcPr>
            <w:tcW w:w="1605" w:type="dxa"/>
          </w:tcPr>
          <w:p w:rsidR="00101256" w:rsidRDefault="00101256" w:rsidP="00BB1F1C">
            <w:pPr>
              <w:rPr>
                <w:lang w:val="en-US"/>
              </w:rPr>
            </w:pPr>
            <w:r>
              <w:rPr>
                <w:lang w:val="en-US"/>
              </w:rPr>
              <w:t>Naïve</w:t>
            </w:r>
          </w:p>
        </w:tc>
        <w:tc>
          <w:tcPr>
            <w:tcW w:w="1239" w:type="dxa"/>
          </w:tcPr>
          <w:p w:rsidR="00101256" w:rsidRDefault="00101256" w:rsidP="00BB1F1C">
            <w:pPr>
              <w:rPr>
                <w:lang w:val="en-US"/>
              </w:rPr>
            </w:pPr>
            <w:r>
              <w:rPr>
                <w:lang w:val="en-US"/>
              </w:rPr>
              <w:t>35</w:t>
            </w:r>
          </w:p>
        </w:tc>
        <w:tc>
          <w:tcPr>
            <w:tcW w:w="1531" w:type="dxa"/>
          </w:tcPr>
          <w:p w:rsidR="00101256" w:rsidRDefault="00101256" w:rsidP="00BB1F1C">
            <w:pPr>
              <w:rPr>
                <w:lang w:val="en-US"/>
              </w:rPr>
            </w:pPr>
            <w:r>
              <w:rPr>
                <w:lang w:val="en-US"/>
              </w:rPr>
              <w:t>6</w:t>
            </w:r>
          </w:p>
        </w:tc>
        <w:tc>
          <w:tcPr>
            <w:tcW w:w="1531" w:type="dxa"/>
          </w:tcPr>
          <w:p w:rsidR="00101256" w:rsidRDefault="00101256" w:rsidP="00BB1F1C">
            <w:pPr>
              <w:rPr>
                <w:lang w:val="en-US"/>
              </w:rPr>
            </w:pPr>
            <w:r>
              <w:rPr>
                <w:lang w:val="en-US"/>
              </w:rPr>
              <w:t>2</w:t>
            </w:r>
          </w:p>
        </w:tc>
        <w:tc>
          <w:tcPr>
            <w:tcW w:w="1587" w:type="dxa"/>
          </w:tcPr>
          <w:p w:rsidR="00101256" w:rsidRDefault="00101256" w:rsidP="00BB1F1C">
            <w:pPr>
              <w:rPr>
                <w:lang w:val="en-US"/>
              </w:rPr>
            </w:pPr>
            <w:r>
              <w:rPr>
                <w:lang w:val="en-US"/>
              </w:rPr>
              <w:t>15</w:t>
            </w:r>
          </w:p>
        </w:tc>
        <w:tc>
          <w:tcPr>
            <w:tcW w:w="1517" w:type="dxa"/>
          </w:tcPr>
          <w:p w:rsidR="00101256" w:rsidRDefault="00101256" w:rsidP="00BB1F1C">
            <w:pPr>
              <w:rPr>
                <w:lang w:val="en-US"/>
              </w:rPr>
            </w:pPr>
            <w:r>
              <w:rPr>
                <w:lang w:val="en-US"/>
              </w:rPr>
              <w:t>2.5</w:t>
            </w:r>
            <w:r>
              <w:rPr>
                <w:lang w:val="en-US"/>
              </w:rPr>
              <w:sym w:font="Symbol" w:char="F0B1"/>
            </w:r>
            <w:r>
              <w:rPr>
                <w:lang w:val="en-US"/>
              </w:rPr>
              <w:t>1.1</w:t>
            </w:r>
          </w:p>
        </w:tc>
      </w:tr>
      <w:tr w:rsidR="00101256" w:rsidTr="00101256">
        <w:tc>
          <w:tcPr>
            <w:tcW w:w="1605" w:type="dxa"/>
          </w:tcPr>
          <w:p w:rsidR="00101256" w:rsidRDefault="00101256" w:rsidP="00BB1F1C">
            <w:pPr>
              <w:rPr>
                <w:lang w:val="en-US"/>
              </w:rPr>
            </w:pPr>
            <w:r>
              <w:rPr>
                <w:lang w:val="en-US"/>
              </w:rPr>
              <w:t>Mt spores</w:t>
            </w:r>
          </w:p>
        </w:tc>
        <w:tc>
          <w:tcPr>
            <w:tcW w:w="1239" w:type="dxa"/>
          </w:tcPr>
          <w:p w:rsidR="00101256" w:rsidRDefault="00101256" w:rsidP="00BB1F1C">
            <w:pPr>
              <w:rPr>
                <w:lang w:val="en-US"/>
              </w:rPr>
            </w:pPr>
            <w:r>
              <w:rPr>
                <w:lang w:val="en-US"/>
              </w:rPr>
              <w:t>35</w:t>
            </w:r>
          </w:p>
        </w:tc>
        <w:tc>
          <w:tcPr>
            <w:tcW w:w="1531" w:type="dxa"/>
          </w:tcPr>
          <w:p w:rsidR="00101256" w:rsidRDefault="00101256" w:rsidP="00BB1F1C">
            <w:pPr>
              <w:rPr>
                <w:lang w:val="en-US"/>
              </w:rPr>
            </w:pPr>
            <w:r>
              <w:rPr>
                <w:lang w:val="en-US"/>
              </w:rPr>
              <w:t>4</w:t>
            </w:r>
          </w:p>
        </w:tc>
        <w:tc>
          <w:tcPr>
            <w:tcW w:w="1531" w:type="dxa"/>
          </w:tcPr>
          <w:p w:rsidR="00101256" w:rsidRDefault="00101256" w:rsidP="00BB1F1C">
            <w:pPr>
              <w:rPr>
                <w:lang w:val="en-US"/>
              </w:rPr>
            </w:pPr>
            <w:r>
              <w:rPr>
                <w:lang w:val="en-US"/>
              </w:rPr>
              <w:t>2</w:t>
            </w:r>
          </w:p>
        </w:tc>
        <w:tc>
          <w:tcPr>
            <w:tcW w:w="1587" w:type="dxa"/>
          </w:tcPr>
          <w:p w:rsidR="00101256" w:rsidRDefault="00101256" w:rsidP="00BB1F1C">
            <w:pPr>
              <w:rPr>
                <w:lang w:val="en-US"/>
              </w:rPr>
            </w:pPr>
            <w:r>
              <w:rPr>
                <w:lang w:val="en-US"/>
              </w:rPr>
              <w:t>16</w:t>
            </w:r>
          </w:p>
        </w:tc>
        <w:tc>
          <w:tcPr>
            <w:tcW w:w="1517" w:type="dxa"/>
          </w:tcPr>
          <w:p w:rsidR="00101256" w:rsidRDefault="00101256" w:rsidP="00BB1F1C">
            <w:pPr>
              <w:rPr>
                <w:lang w:val="en-US"/>
              </w:rPr>
            </w:pPr>
            <w:r>
              <w:rPr>
                <w:lang w:val="en-US"/>
              </w:rPr>
              <w:t>2.8</w:t>
            </w:r>
            <w:r>
              <w:rPr>
                <w:lang w:val="en-US"/>
              </w:rPr>
              <w:sym w:font="Symbol" w:char="F0B1"/>
            </w:r>
            <w:r>
              <w:rPr>
                <w:lang w:val="en-US"/>
              </w:rPr>
              <w:t>1.1</w:t>
            </w:r>
          </w:p>
        </w:tc>
      </w:tr>
      <w:tr w:rsidR="00101256" w:rsidTr="00101256">
        <w:trPr>
          <w:trHeight w:val="260"/>
        </w:trPr>
        <w:tc>
          <w:tcPr>
            <w:tcW w:w="1605" w:type="dxa"/>
          </w:tcPr>
          <w:p w:rsidR="00101256" w:rsidRDefault="00101256" w:rsidP="00BB1F1C">
            <w:pPr>
              <w:rPr>
                <w:lang w:val="en-US"/>
              </w:rPr>
            </w:pPr>
            <w:r>
              <w:rPr>
                <w:lang w:val="en-US"/>
              </w:rPr>
              <w:t>Dead Mt spores</w:t>
            </w:r>
          </w:p>
        </w:tc>
        <w:tc>
          <w:tcPr>
            <w:tcW w:w="1239" w:type="dxa"/>
          </w:tcPr>
          <w:p w:rsidR="00101256" w:rsidRDefault="00101256" w:rsidP="00BB1F1C">
            <w:pPr>
              <w:rPr>
                <w:lang w:val="en-US"/>
              </w:rPr>
            </w:pPr>
            <w:r>
              <w:rPr>
                <w:lang w:val="en-US"/>
              </w:rPr>
              <w:t>32*</w:t>
            </w:r>
          </w:p>
        </w:tc>
        <w:tc>
          <w:tcPr>
            <w:tcW w:w="1531" w:type="dxa"/>
          </w:tcPr>
          <w:p w:rsidR="00101256" w:rsidRDefault="00101256" w:rsidP="00BB1F1C">
            <w:pPr>
              <w:rPr>
                <w:lang w:val="en-US"/>
              </w:rPr>
            </w:pPr>
            <w:r>
              <w:rPr>
                <w:lang w:val="en-US"/>
              </w:rPr>
              <w:t>8</w:t>
            </w:r>
          </w:p>
        </w:tc>
        <w:tc>
          <w:tcPr>
            <w:tcW w:w="1531" w:type="dxa"/>
          </w:tcPr>
          <w:p w:rsidR="00101256" w:rsidRDefault="00101256" w:rsidP="00BB1F1C">
            <w:pPr>
              <w:rPr>
                <w:lang w:val="en-US"/>
              </w:rPr>
            </w:pPr>
            <w:r>
              <w:rPr>
                <w:lang w:val="en-US"/>
              </w:rPr>
              <w:t>3</w:t>
            </w:r>
          </w:p>
        </w:tc>
        <w:tc>
          <w:tcPr>
            <w:tcW w:w="1587" w:type="dxa"/>
          </w:tcPr>
          <w:p w:rsidR="00101256" w:rsidRDefault="00101256" w:rsidP="00BB1F1C">
            <w:pPr>
              <w:rPr>
                <w:lang w:val="en-US"/>
              </w:rPr>
            </w:pPr>
            <w:r>
              <w:rPr>
                <w:lang w:val="en-US"/>
              </w:rPr>
              <w:t>18</w:t>
            </w:r>
          </w:p>
        </w:tc>
        <w:tc>
          <w:tcPr>
            <w:tcW w:w="1517" w:type="dxa"/>
          </w:tcPr>
          <w:p w:rsidR="00101256" w:rsidRDefault="00101256" w:rsidP="00BB1F1C">
            <w:pPr>
              <w:rPr>
                <w:lang w:val="en-US"/>
              </w:rPr>
            </w:pPr>
            <w:r>
              <w:rPr>
                <w:lang w:val="en-US"/>
              </w:rPr>
              <w:t>4.3</w:t>
            </w:r>
            <w:r>
              <w:rPr>
                <w:lang w:val="en-US"/>
              </w:rPr>
              <w:sym w:font="Symbol" w:char="F0B1"/>
            </w:r>
            <w:r>
              <w:rPr>
                <w:lang w:val="en-US"/>
              </w:rPr>
              <w:t>2.4</w:t>
            </w:r>
          </w:p>
        </w:tc>
      </w:tr>
    </w:tbl>
    <w:p w:rsidR="006F514C" w:rsidRDefault="006F514C" w:rsidP="00BB1F1C">
      <w:pPr>
        <w:rPr>
          <w:lang w:val="en-US"/>
        </w:rPr>
      </w:pPr>
    </w:p>
    <w:p w:rsidR="005F3207" w:rsidRDefault="005F3207" w:rsidP="00BB1F1C">
      <w:pPr>
        <w:rPr>
          <w:lang w:val="en-US"/>
        </w:rPr>
      </w:pPr>
      <w:r>
        <w:rPr>
          <w:lang w:val="en-US"/>
        </w:rPr>
        <w:t xml:space="preserve">Table S1. </w:t>
      </w:r>
      <w:r w:rsidR="00101256">
        <w:rPr>
          <w:lang w:val="en-US"/>
        </w:rPr>
        <w:t xml:space="preserve"> Number of queens used in the study for each treatment (n), queens dead before day 150 without producing the first worker (Dear claustral), live queens at day 150 which did not produce the first worker (Live claustral), queens which produced workers suitable for the challenge (at least two worker produced with a difference in adult age of less than 10 days, see methods), mean and standard deviation of workers used for the challenges for each treatment. In the dead Mt spores groups, three queens died in the day of the treatment and they have been removed from the analysis. </w:t>
      </w:r>
    </w:p>
    <w:p w:rsidR="00CA127C" w:rsidRDefault="00CA127C" w:rsidP="00BB1F1C">
      <w:pPr>
        <w:rPr>
          <w:lang w:val="en-US"/>
        </w:rPr>
      </w:pPr>
    </w:p>
    <w:p w:rsidR="00161FDA" w:rsidRDefault="00161FDA">
      <w:pPr>
        <w:rPr>
          <w:lang w:val="en-US"/>
        </w:rPr>
      </w:pPr>
      <w:r>
        <w:rPr>
          <w:lang w:val="en-US"/>
        </w:rPr>
        <w:br w:type="page"/>
      </w:r>
    </w:p>
    <w:p w:rsidR="00161FDA" w:rsidRDefault="00161FDA" w:rsidP="00BB1F1C">
      <w:pPr>
        <w:rPr>
          <w:lang w:val="en-US"/>
        </w:rPr>
      </w:pPr>
    </w:p>
    <w:p w:rsidR="00CA127C" w:rsidRDefault="00CA127C" w:rsidP="00BB1F1C">
      <w:pPr>
        <w:rPr>
          <w:lang w:val="en-US"/>
        </w:rPr>
      </w:pPr>
    </w:p>
    <w:p w:rsidR="00CA127C" w:rsidRDefault="00CA127C" w:rsidP="00BB1F1C">
      <w:pPr>
        <w:rPr>
          <w:lang w:val="en-US"/>
        </w:rPr>
      </w:pPr>
      <w:r>
        <w:rPr>
          <w:noProof/>
          <w:lang w:val="it-IT" w:eastAsia="it-IT"/>
        </w:rPr>
        <w:drawing>
          <wp:inline distT="0" distB="0" distL="0" distR="0">
            <wp:extent cx="4051935" cy="2989990"/>
            <wp:effectExtent l="0" t="0" r="12065" b="7620"/>
            <wp:docPr id="1" name="Picture 1" descr="../Revision%202/Figure%20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ion%202/Figure%20S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1935" cy="2989990"/>
                    </a:xfrm>
                    <a:prstGeom prst="rect">
                      <a:avLst/>
                    </a:prstGeom>
                    <a:noFill/>
                    <a:ln>
                      <a:noFill/>
                    </a:ln>
                  </pic:spPr>
                </pic:pic>
              </a:graphicData>
            </a:graphic>
          </wp:inline>
        </w:drawing>
      </w:r>
    </w:p>
    <w:p w:rsidR="00CA127C" w:rsidRDefault="00CA127C" w:rsidP="00BB1F1C">
      <w:pPr>
        <w:rPr>
          <w:lang w:val="en-US"/>
        </w:rPr>
      </w:pPr>
    </w:p>
    <w:p w:rsidR="00CA127C" w:rsidRPr="004A4F2B" w:rsidRDefault="00CA127C" w:rsidP="00CA127C">
      <w:pPr>
        <w:spacing w:line="360" w:lineRule="auto"/>
        <w:ind w:right="707"/>
        <w:jc w:val="both"/>
        <w:rPr>
          <w:kern w:val="22"/>
        </w:rPr>
      </w:pPr>
      <w:r>
        <w:rPr>
          <w:lang w:val="en-US"/>
        </w:rPr>
        <w:t>Figure S1</w:t>
      </w:r>
      <w:r w:rsidRPr="00CA127C">
        <w:rPr>
          <w:kern w:val="22"/>
        </w:rPr>
        <w:t xml:space="preserve"> </w:t>
      </w:r>
      <w:r w:rsidRPr="004A4F2B">
        <w:t xml:space="preserve">Survival plot for the workers </w:t>
      </w:r>
      <w:r>
        <w:t>subjected to the two protocols</w:t>
      </w:r>
      <w:r w:rsidRPr="004A4F2B">
        <w:t xml:space="preserve"> </w:t>
      </w:r>
      <w:r>
        <w:t xml:space="preserve">(feeding and starvation) </w:t>
      </w:r>
      <w:r w:rsidRPr="004A4F2B">
        <w:t xml:space="preserve">during the </w:t>
      </w:r>
      <w:r>
        <w:t>14</w:t>
      </w:r>
      <w:r w:rsidRPr="004A4F2B">
        <w:t xml:space="preserve"> day challenge with a </w:t>
      </w:r>
      <w:r>
        <w:t xml:space="preserve">DL80 </w:t>
      </w:r>
      <w:r w:rsidRPr="004A4F2B">
        <w:t xml:space="preserve">dose of </w:t>
      </w:r>
      <w:r w:rsidRPr="004A4F2B">
        <w:rPr>
          <w:i/>
        </w:rPr>
        <w:t xml:space="preserve">M. </w:t>
      </w:r>
      <w:proofErr w:type="spellStart"/>
      <w:r w:rsidRPr="004A4F2B">
        <w:rPr>
          <w:i/>
        </w:rPr>
        <w:t>anisopliae</w:t>
      </w:r>
      <w:proofErr w:type="spellEnd"/>
      <w:r w:rsidRPr="004A4F2B">
        <w:t>.</w:t>
      </w:r>
      <w:r>
        <w:t xml:space="preserve"> In parentheses number of colony having produced suitable workers and total number of workers tested for each protocol.</w:t>
      </w:r>
      <w:r w:rsidRPr="004A4F2B">
        <w:rPr>
          <w:kern w:val="22"/>
        </w:rPr>
        <w:t xml:space="preserve"> </w:t>
      </w:r>
    </w:p>
    <w:p w:rsidR="00CA127C" w:rsidRPr="00CA127C" w:rsidRDefault="00CA127C" w:rsidP="00BB1F1C"/>
    <w:p w:rsidR="00CA127C" w:rsidRDefault="00CA127C" w:rsidP="00BB1F1C">
      <w:pPr>
        <w:rPr>
          <w:lang w:val="en-US"/>
        </w:rPr>
      </w:pPr>
    </w:p>
    <w:p w:rsidR="00C22503" w:rsidRDefault="00C22503" w:rsidP="00BB1F1C">
      <w:pPr>
        <w:rPr>
          <w:lang w:val="en-US"/>
        </w:rPr>
      </w:pPr>
    </w:p>
    <w:p w:rsidR="00C22503" w:rsidRPr="009D0007" w:rsidRDefault="00C22503" w:rsidP="00BB1F1C">
      <w:pPr>
        <w:rPr>
          <w:lang w:val="en-US"/>
        </w:rPr>
      </w:pPr>
    </w:p>
    <w:sectPr w:rsidR="00C22503" w:rsidRPr="009D0007" w:rsidSect="00C873F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20"/>
  <w:hyphenationZone w:val="283"/>
  <w:characterSpacingControl w:val="doNotCompress"/>
  <w:compat/>
  <w:rsids>
    <w:rsidRoot w:val="0076476B"/>
    <w:rsid w:val="00044384"/>
    <w:rsid w:val="000970BE"/>
    <w:rsid w:val="000C515D"/>
    <w:rsid w:val="000D08C0"/>
    <w:rsid w:val="000D7FCE"/>
    <w:rsid w:val="00101256"/>
    <w:rsid w:val="00142707"/>
    <w:rsid w:val="00161FDA"/>
    <w:rsid w:val="001D7FE3"/>
    <w:rsid w:val="001F7641"/>
    <w:rsid w:val="00284308"/>
    <w:rsid w:val="002F6524"/>
    <w:rsid w:val="0031188F"/>
    <w:rsid w:val="00324B97"/>
    <w:rsid w:val="003879C4"/>
    <w:rsid w:val="003B0CCE"/>
    <w:rsid w:val="003B255E"/>
    <w:rsid w:val="003D4B53"/>
    <w:rsid w:val="003E62EE"/>
    <w:rsid w:val="004243F9"/>
    <w:rsid w:val="004363F7"/>
    <w:rsid w:val="004456C8"/>
    <w:rsid w:val="004A57F0"/>
    <w:rsid w:val="004C585A"/>
    <w:rsid w:val="004E05D8"/>
    <w:rsid w:val="004E3C2B"/>
    <w:rsid w:val="005015BB"/>
    <w:rsid w:val="00544E3C"/>
    <w:rsid w:val="00563541"/>
    <w:rsid w:val="0059090F"/>
    <w:rsid w:val="005F3207"/>
    <w:rsid w:val="00614AAE"/>
    <w:rsid w:val="00645B2D"/>
    <w:rsid w:val="006F13CC"/>
    <w:rsid w:val="006F514C"/>
    <w:rsid w:val="00726767"/>
    <w:rsid w:val="007456FE"/>
    <w:rsid w:val="00750845"/>
    <w:rsid w:val="0076476B"/>
    <w:rsid w:val="00774B92"/>
    <w:rsid w:val="007A2594"/>
    <w:rsid w:val="007A2E4A"/>
    <w:rsid w:val="00821654"/>
    <w:rsid w:val="00867D21"/>
    <w:rsid w:val="00873E67"/>
    <w:rsid w:val="008E49AB"/>
    <w:rsid w:val="00946B63"/>
    <w:rsid w:val="009D0007"/>
    <w:rsid w:val="00A074BA"/>
    <w:rsid w:val="00A514B3"/>
    <w:rsid w:val="00A606BD"/>
    <w:rsid w:val="00AE3C7A"/>
    <w:rsid w:val="00B14310"/>
    <w:rsid w:val="00B9617F"/>
    <w:rsid w:val="00BA4E97"/>
    <w:rsid w:val="00BB1F1C"/>
    <w:rsid w:val="00C22503"/>
    <w:rsid w:val="00C43618"/>
    <w:rsid w:val="00C46B34"/>
    <w:rsid w:val="00C501A6"/>
    <w:rsid w:val="00C873FA"/>
    <w:rsid w:val="00CA127C"/>
    <w:rsid w:val="00CA5B6F"/>
    <w:rsid w:val="00CC64B8"/>
    <w:rsid w:val="00CE45B7"/>
    <w:rsid w:val="00D1730D"/>
    <w:rsid w:val="00D62F46"/>
    <w:rsid w:val="00D70B6A"/>
    <w:rsid w:val="00D82F9F"/>
    <w:rsid w:val="00DA3F81"/>
    <w:rsid w:val="00DF17BE"/>
    <w:rsid w:val="00E025FB"/>
    <w:rsid w:val="00EB5C21"/>
    <w:rsid w:val="00F24013"/>
    <w:rsid w:val="00FA3609"/>
    <w:rsid w:val="00FC1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9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50845"/>
    <w:rPr>
      <w:sz w:val="16"/>
      <w:szCs w:val="16"/>
    </w:rPr>
  </w:style>
  <w:style w:type="paragraph" w:styleId="Testocommento">
    <w:name w:val="annotation text"/>
    <w:basedOn w:val="Normale"/>
    <w:link w:val="TestocommentoCarattere"/>
    <w:uiPriority w:val="99"/>
    <w:semiHidden/>
    <w:unhideWhenUsed/>
    <w:rsid w:val="00750845"/>
    <w:rPr>
      <w:sz w:val="20"/>
      <w:szCs w:val="20"/>
    </w:rPr>
  </w:style>
  <w:style w:type="character" w:customStyle="1" w:styleId="TestocommentoCarattere">
    <w:name w:val="Testo commento Carattere"/>
    <w:basedOn w:val="Carpredefinitoparagrafo"/>
    <w:link w:val="Testocommento"/>
    <w:uiPriority w:val="99"/>
    <w:semiHidden/>
    <w:rsid w:val="00750845"/>
    <w:rPr>
      <w:sz w:val="20"/>
      <w:szCs w:val="20"/>
    </w:rPr>
  </w:style>
  <w:style w:type="paragraph" w:styleId="Soggettocommento">
    <w:name w:val="annotation subject"/>
    <w:basedOn w:val="Testocommento"/>
    <w:next w:val="Testocommento"/>
    <w:link w:val="SoggettocommentoCarattere"/>
    <w:uiPriority w:val="99"/>
    <w:semiHidden/>
    <w:unhideWhenUsed/>
    <w:rsid w:val="00750845"/>
    <w:rPr>
      <w:b/>
      <w:bCs/>
    </w:rPr>
  </w:style>
  <w:style w:type="character" w:customStyle="1" w:styleId="SoggettocommentoCarattere">
    <w:name w:val="Soggetto commento Carattere"/>
    <w:basedOn w:val="TestocommentoCarattere"/>
    <w:link w:val="Soggettocommento"/>
    <w:uiPriority w:val="99"/>
    <w:semiHidden/>
    <w:rsid w:val="00750845"/>
    <w:rPr>
      <w:b/>
      <w:bCs/>
      <w:sz w:val="20"/>
      <w:szCs w:val="20"/>
    </w:rPr>
  </w:style>
  <w:style w:type="paragraph" w:styleId="Testofumetto">
    <w:name w:val="Balloon Text"/>
    <w:basedOn w:val="Normale"/>
    <w:link w:val="TestofumettoCarattere"/>
    <w:uiPriority w:val="99"/>
    <w:semiHidden/>
    <w:unhideWhenUsed/>
    <w:rsid w:val="007508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845"/>
    <w:rPr>
      <w:rFonts w:ascii="Tahoma" w:hAnsi="Tahoma" w:cs="Tahoma"/>
      <w:sz w:val="16"/>
      <w:szCs w:val="16"/>
    </w:rPr>
  </w:style>
  <w:style w:type="table" w:styleId="Grigliatabella">
    <w:name w:val="Table Grid"/>
    <w:basedOn w:val="Tabellanormale"/>
    <w:uiPriority w:val="39"/>
    <w:rsid w:val="006F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Dapporto</dc:creator>
  <cp:lastModifiedBy>Adele</cp:lastModifiedBy>
  <cp:revision>4</cp:revision>
  <cp:lastPrinted>2017-09-21T07:26:00Z</cp:lastPrinted>
  <dcterms:created xsi:type="dcterms:W3CDTF">2017-11-22T10:18:00Z</dcterms:created>
  <dcterms:modified xsi:type="dcterms:W3CDTF">2018-03-22T11:12:00Z</dcterms:modified>
</cp:coreProperties>
</file>