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C1" w:rsidRPr="00445BEE" w:rsidRDefault="00FA17C1" w:rsidP="00FA17C1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FA17C1" w:rsidRDefault="00FA17C1" w:rsidP="00FA17C1">
      <w:pPr>
        <w:spacing w:before="120" w:after="120" w:line="480" w:lineRule="auto"/>
        <w:jc w:val="center"/>
        <w:rPr>
          <w:b/>
          <w:sz w:val="28"/>
          <w:szCs w:val="28"/>
          <w:lang w:val="en-US"/>
        </w:rPr>
      </w:pPr>
    </w:p>
    <w:p w:rsidR="00FA17C1" w:rsidRDefault="00FA17C1" w:rsidP="00FA17C1">
      <w:pPr>
        <w:shd w:val="clear" w:color="auto" w:fill="FFFFFF"/>
        <w:spacing w:after="240"/>
        <w:jc w:val="center"/>
        <w:textAlignment w:val="baseline"/>
        <w:rPr>
          <w:rFonts w:ascii="MyriadPro-Cond" w:hAnsi="MyriadPro-Cond" w:cs="MyriadPro-Cond"/>
          <w:color w:val="323031"/>
          <w:sz w:val="36"/>
          <w:szCs w:val="36"/>
        </w:rPr>
      </w:pPr>
      <w:r w:rsidRPr="009F55EB">
        <w:rPr>
          <w:rFonts w:ascii="MyriadPro-Cond" w:hAnsi="MyriadPro-Cond" w:cs="MyriadPro-Cond"/>
          <w:color w:val="323031"/>
          <w:sz w:val="36"/>
          <w:szCs w:val="36"/>
        </w:rPr>
        <w:t>Supplementary material</w:t>
      </w:r>
    </w:p>
    <w:p w:rsidR="00FA17C1" w:rsidRDefault="00FA17C1" w:rsidP="00FA17C1">
      <w:pPr>
        <w:spacing w:before="120" w:after="120" w:line="480" w:lineRule="auto"/>
        <w:jc w:val="center"/>
        <w:rPr>
          <w:b/>
          <w:sz w:val="28"/>
          <w:szCs w:val="28"/>
          <w:lang w:val="en-US"/>
        </w:rPr>
      </w:pPr>
    </w:p>
    <w:p w:rsidR="00FA17C1" w:rsidRDefault="00FA17C1" w:rsidP="00FA17C1">
      <w:pPr>
        <w:spacing w:before="120" w:after="120" w:line="480" w:lineRule="auto"/>
        <w:jc w:val="center"/>
        <w:rPr>
          <w:b/>
          <w:sz w:val="28"/>
          <w:szCs w:val="28"/>
          <w:lang w:val="en-US"/>
        </w:rPr>
      </w:pPr>
    </w:p>
    <w:p w:rsidR="00FA17C1" w:rsidRDefault="00FA17C1" w:rsidP="00FA17C1">
      <w:pPr>
        <w:spacing w:before="120" w:after="120" w:line="480" w:lineRule="auto"/>
        <w:jc w:val="center"/>
        <w:rPr>
          <w:b/>
          <w:sz w:val="28"/>
          <w:szCs w:val="28"/>
          <w:lang w:val="en-US"/>
        </w:rPr>
      </w:pPr>
      <w:r w:rsidRPr="0086439C">
        <w:rPr>
          <w:b/>
          <w:sz w:val="28"/>
          <w:szCs w:val="28"/>
          <w:lang w:val="en-US"/>
        </w:rPr>
        <w:t xml:space="preserve">Divide and conquer: </w:t>
      </w:r>
      <w:r>
        <w:rPr>
          <w:b/>
          <w:sz w:val="28"/>
          <w:szCs w:val="28"/>
          <w:lang w:val="en-US"/>
        </w:rPr>
        <w:t>intermediate levels of population fragmentation maximize cultural accumulation</w:t>
      </w:r>
    </w:p>
    <w:p w:rsidR="00FA17C1" w:rsidRPr="000B6432" w:rsidRDefault="00FA17C1" w:rsidP="00FA17C1">
      <w:pPr>
        <w:pStyle w:val="01PaperTitle"/>
        <w:spacing w:line="240" w:lineRule="auto"/>
      </w:pPr>
    </w:p>
    <w:p w:rsidR="007410F9" w:rsidRPr="009937ED" w:rsidRDefault="007410F9" w:rsidP="007410F9">
      <w:pPr>
        <w:spacing w:line="480" w:lineRule="auto"/>
        <w:jc w:val="center"/>
        <w:rPr>
          <w:bCs/>
          <w:color w:val="000000"/>
          <w:sz w:val="32"/>
          <w:szCs w:val="32"/>
          <w:lang w:val="fr-FR"/>
        </w:rPr>
      </w:pPr>
      <w:r w:rsidRPr="009937ED">
        <w:rPr>
          <w:bCs/>
          <w:color w:val="000000"/>
          <w:sz w:val="32"/>
          <w:szCs w:val="32"/>
          <w:lang w:val="fr-FR"/>
        </w:rPr>
        <w:t>Maxime Derex</w:t>
      </w:r>
      <w:r w:rsidRPr="009937ED">
        <w:rPr>
          <w:bCs/>
          <w:color w:val="000000"/>
          <w:sz w:val="32"/>
          <w:szCs w:val="32"/>
          <w:vertAlign w:val="superscript"/>
          <w:lang w:val="fr-FR"/>
        </w:rPr>
        <w:t>1</w:t>
      </w:r>
      <w:proofErr w:type="gramStart"/>
      <w:r>
        <w:rPr>
          <w:bCs/>
          <w:color w:val="000000"/>
          <w:sz w:val="32"/>
          <w:szCs w:val="32"/>
          <w:vertAlign w:val="superscript"/>
          <w:lang w:val="fr-FR"/>
        </w:rPr>
        <w:t>,2,3</w:t>
      </w:r>
      <w:proofErr w:type="gramEnd"/>
      <w:r w:rsidRPr="009937ED">
        <w:rPr>
          <w:bCs/>
          <w:color w:val="000000"/>
          <w:sz w:val="32"/>
          <w:szCs w:val="32"/>
          <w:lang w:val="fr-FR"/>
        </w:rPr>
        <w:t>, Charles Perreault</w:t>
      </w:r>
      <w:r w:rsidRPr="009937ED">
        <w:rPr>
          <w:bCs/>
          <w:color w:val="000000"/>
          <w:sz w:val="32"/>
          <w:szCs w:val="32"/>
          <w:vertAlign w:val="superscript"/>
          <w:lang w:val="fr-FR"/>
        </w:rPr>
        <w:t>1,</w:t>
      </w:r>
      <w:r>
        <w:rPr>
          <w:bCs/>
          <w:color w:val="000000"/>
          <w:sz w:val="32"/>
          <w:szCs w:val="32"/>
          <w:vertAlign w:val="superscript"/>
          <w:lang w:val="fr-FR"/>
        </w:rPr>
        <w:t>4</w:t>
      </w:r>
      <w:r w:rsidRPr="009937ED">
        <w:rPr>
          <w:bCs/>
          <w:color w:val="000000"/>
          <w:sz w:val="32"/>
          <w:szCs w:val="32"/>
          <w:lang w:val="fr-FR"/>
        </w:rPr>
        <w:t>, Robert Boyd</w:t>
      </w:r>
      <w:r w:rsidRPr="009937ED">
        <w:rPr>
          <w:bCs/>
          <w:color w:val="000000"/>
          <w:sz w:val="32"/>
          <w:szCs w:val="32"/>
          <w:vertAlign w:val="superscript"/>
          <w:lang w:val="fr-FR"/>
        </w:rPr>
        <w:t>1,</w:t>
      </w:r>
      <w:r>
        <w:rPr>
          <w:bCs/>
          <w:color w:val="000000"/>
          <w:sz w:val="32"/>
          <w:szCs w:val="32"/>
          <w:vertAlign w:val="superscript"/>
          <w:lang w:val="fr-FR"/>
        </w:rPr>
        <w:t>4</w:t>
      </w:r>
    </w:p>
    <w:p w:rsidR="007410F9" w:rsidRPr="009937ED" w:rsidRDefault="007410F9" w:rsidP="007410F9">
      <w:pPr>
        <w:spacing w:line="480" w:lineRule="auto"/>
        <w:rPr>
          <w:bCs/>
          <w:color w:val="000000"/>
          <w:szCs w:val="24"/>
          <w:lang w:val="fr-FR"/>
        </w:rPr>
      </w:pPr>
    </w:p>
    <w:p w:rsidR="007410F9" w:rsidRDefault="007410F9" w:rsidP="007410F9">
      <w:pPr>
        <w:spacing w:line="480" w:lineRule="auto"/>
        <w:rPr>
          <w:szCs w:val="24"/>
        </w:rPr>
      </w:pPr>
      <w:r w:rsidRPr="0009085C">
        <w:rPr>
          <w:bCs/>
          <w:color w:val="000000"/>
          <w:szCs w:val="24"/>
          <w:vertAlign w:val="superscript"/>
        </w:rPr>
        <w:t xml:space="preserve">1 </w:t>
      </w:r>
      <w:r w:rsidRPr="0009085C">
        <w:rPr>
          <w:szCs w:val="24"/>
        </w:rPr>
        <w:t>Institute of Human Origins, Arizona State University, Tempe, AZ 85287, USA.</w:t>
      </w:r>
    </w:p>
    <w:p w:rsidR="007410F9" w:rsidRDefault="007410F9" w:rsidP="007410F9">
      <w:pPr>
        <w:spacing w:line="480" w:lineRule="auto"/>
        <w:rPr>
          <w:szCs w:val="24"/>
        </w:rPr>
      </w:pPr>
      <w:r>
        <w:rPr>
          <w:bCs/>
          <w:color w:val="000000"/>
          <w:szCs w:val="24"/>
          <w:vertAlign w:val="superscript"/>
        </w:rPr>
        <w:t>2</w:t>
      </w:r>
      <w:r w:rsidRPr="0009085C">
        <w:rPr>
          <w:bCs/>
          <w:color w:val="000000"/>
          <w:szCs w:val="24"/>
          <w:vertAlign w:val="superscript"/>
        </w:rPr>
        <w:t xml:space="preserve"> </w:t>
      </w:r>
      <w:r w:rsidRPr="003E1C33">
        <w:rPr>
          <w:szCs w:val="24"/>
        </w:rPr>
        <w:t xml:space="preserve">Human Biological and Cultural Evolution Group, Department of Biosciences, University of Exeter, </w:t>
      </w:r>
      <w:r>
        <w:rPr>
          <w:szCs w:val="24"/>
        </w:rPr>
        <w:t>Penryn TR10 9FE, United Kingdom.</w:t>
      </w:r>
    </w:p>
    <w:p w:rsidR="007410F9" w:rsidRPr="00E45746" w:rsidRDefault="007410F9" w:rsidP="007410F9">
      <w:pPr>
        <w:spacing w:line="480" w:lineRule="auto"/>
        <w:rPr>
          <w:szCs w:val="24"/>
        </w:rPr>
      </w:pPr>
      <w:r w:rsidRPr="00E45746">
        <w:rPr>
          <w:bCs/>
          <w:color w:val="000000"/>
          <w:szCs w:val="24"/>
          <w:vertAlign w:val="superscript"/>
        </w:rPr>
        <w:t xml:space="preserve">3 </w:t>
      </w:r>
      <w:r w:rsidRPr="00E45746">
        <w:rPr>
          <w:szCs w:val="24"/>
        </w:rPr>
        <w:t>Laboratory for Experimental Anthropology – ETHICS (EA 7446), Lille Catholic University, 59016 Lille, France</w:t>
      </w:r>
    </w:p>
    <w:p w:rsidR="007410F9" w:rsidRPr="0009085C" w:rsidRDefault="007410F9" w:rsidP="007410F9">
      <w:pPr>
        <w:spacing w:line="480" w:lineRule="auto"/>
        <w:rPr>
          <w:szCs w:val="24"/>
        </w:rPr>
      </w:pPr>
      <w:r>
        <w:rPr>
          <w:bCs/>
          <w:color w:val="000000"/>
          <w:szCs w:val="24"/>
          <w:vertAlign w:val="superscript"/>
        </w:rPr>
        <w:t>4</w:t>
      </w:r>
      <w:r w:rsidRPr="0009085C">
        <w:rPr>
          <w:bCs/>
          <w:color w:val="000000"/>
          <w:szCs w:val="24"/>
          <w:vertAlign w:val="superscript"/>
        </w:rPr>
        <w:t xml:space="preserve"> </w:t>
      </w:r>
      <w:r w:rsidRPr="0009085C">
        <w:rPr>
          <w:szCs w:val="24"/>
        </w:rPr>
        <w:t>School of Human Evolution and Social Change, Arizona State University, Tempe, AZ 85287, USA.</w:t>
      </w:r>
    </w:p>
    <w:p w:rsidR="00FA17C1" w:rsidRDefault="00FA17C1" w:rsidP="00FA17C1">
      <w:pPr>
        <w:shd w:val="clear" w:color="auto" w:fill="FFFFFF"/>
        <w:spacing w:after="240"/>
        <w:textAlignment w:val="baseline"/>
        <w:rPr>
          <w:rFonts w:ascii="MyriadPro-Cond" w:hAnsi="MyriadPro-Cond" w:cs="MyriadPro-Cond"/>
          <w:color w:val="323031"/>
          <w:sz w:val="36"/>
          <w:szCs w:val="36"/>
        </w:rPr>
      </w:pPr>
    </w:p>
    <w:p w:rsidR="007410F9" w:rsidRDefault="007410F9" w:rsidP="00FA17C1">
      <w:pPr>
        <w:shd w:val="clear" w:color="auto" w:fill="FFFFFF"/>
        <w:spacing w:after="240"/>
        <w:textAlignment w:val="baseline"/>
        <w:rPr>
          <w:rFonts w:ascii="MyriadPro-Cond" w:hAnsi="MyriadPro-Cond" w:cs="MyriadPro-Cond"/>
          <w:color w:val="323031"/>
          <w:sz w:val="36"/>
          <w:szCs w:val="36"/>
        </w:rPr>
      </w:pPr>
    </w:p>
    <w:p w:rsidR="007410F9" w:rsidRDefault="007410F9" w:rsidP="00FA17C1">
      <w:pPr>
        <w:shd w:val="clear" w:color="auto" w:fill="FFFFFF"/>
        <w:spacing w:after="240"/>
        <w:textAlignment w:val="baseline"/>
        <w:rPr>
          <w:rFonts w:ascii="MyriadPro-Cond" w:hAnsi="MyriadPro-Cond" w:cs="MyriadPro-Cond"/>
          <w:color w:val="323031"/>
          <w:sz w:val="36"/>
          <w:szCs w:val="36"/>
        </w:rPr>
      </w:pPr>
    </w:p>
    <w:p w:rsidR="007410F9" w:rsidRPr="009F55EB" w:rsidRDefault="007410F9" w:rsidP="00FA17C1">
      <w:pPr>
        <w:shd w:val="clear" w:color="auto" w:fill="FFFFFF"/>
        <w:spacing w:after="240"/>
        <w:textAlignment w:val="baseline"/>
        <w:rPr>
          <w:rFonts w:ascii="MyriadPro-Cond" w:hAnsi="MyriadPro-Cond" w:cs="MyriadPro-Cond"/>
          <w:color w:val="323031"/>
          <w:sz w:val="36"/>
          <w:szCs w:val="36"/>
        </w:rPr>
      </w:pPr>
    </w:p>
    <w:p w:rsidR="00FA17C1" w:rsidRDefault="00FA17C1" w:rsidP="00FA17C1"/>
    <w:p w:rsidR="00FA17C1" w:rsidRDefault="00FA17C1" w:rsidP="00FA17C1">
      <w:r>
        <w:rPr>
          <w:noProof/>
        </w:rPr>
        <w:lastRenderedPageBreak/>
        <w:drawing>
          <wp:inline distT="0" distB="0" distL="0" distR="0" wp14:anchorId="01D1942A" wp14:editId="602DD2B1">
            <wp:extent cx="6194666" cy="1952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17" cy="195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7C1" w:rsidRPr="000A7899" w:rsidRDefault="00FA17C1" w:rsidP="00FA17C1">
      <w:pPr>
        <w:jc w:val="both"/>
      </w:pPr>
      <w:r w:rsidRPr="00FA17C1">
        <w:rPr>
          <w:b/>
        </w:rPr>
        <w:t>Supplementary Figure 1</w:t>
      </w:r>
      <w:r w:rsidRPr="000A7899">
        <w:t>: Panel A shows the effect of fragmentation (</w:t>
      </w:r>
      <w:r w:rsidRPr="000A7899">
        <w:rPr>
          <w:i/>
        </w:rPr>
        <w:t>f</w:t>
      </w:r>
      <w:r w:rsidRPr="000A7899">
        <w:t>) when innovation does not depend on cultural diversity (</w:t>
      </w:r>
      <w:r w:rsidRPr="000A7899">
        <w:rPr>
          <w:i/>
          <w:iCs/>
        </w:rPr>
        <w:t xml:space="preserve">ρ </w:t>
      </w:r>
      <w:r w:rsidRPr="000A7899">
        <w:t xml:space="preserve">= 1) for </w:t>
      </w:r>
      <w:r w:rsidRPr="000A7899">
        <w:rPr>
          <w:i/>
        </w:rPr>
        <w:t xml:space="preserve">p </w:t>
      </w:r>
      <w:r w:rsidRPr="000A7899">
        <w:t xml:space="preserve">= 0.005 and ε = 0.2. Panel B shows the performance of populations at a higher rate of learning error (ε = 0.4). In this case, populations </w:t>
      </w:r>
      <w:r w:rsidR="007410F9">
        <w:t>produce less complex cultural traits</w:t>
      </w:r>
      <w:r w:rsidRPr="000A7899">
        <w:t xml:space="preserve"> than in panel A. Panel C shows the performance of populations at a higher rate of innovation (</w:t>
      </w:r>
      <w:r w:rsidRPr="000A7899">
        <w:rPr>
          <w:i/>
        </w:rPr>
        <w:t xml:space="preserve">p </w:t>
      </w:r>
      <w:r w:rsidRPr="000A7899">
        <w:t>= 0.01). In that case, p</w:t>
      </w:r>
      <w:r w:rsidR="007410F9">
        <w:t>opulations reach the same level</w:t>
      </w:r>
      <w:r w:rsidRPr="000A7899">
        <w:t xml:space="preserve"> of cultural complexity than in panel A</w:t>
      </w:r>
      <w:r>
        <w:t>,</w:t>
      </w:r>
      <w:r w:rsidRPr="000A7899">
        <w:t xml:space="preserve"> but </w:t>
      </w:r>
      <w:r>
        <w:t>more rapidly.</w:t>
      </w:r>
      <w:r w:rsidRPr="000A7899">
        <w:t xml:space="preserve"> Lines show the value (+/- </w:t>
      </w:r>
      <w:proofErr w:type="spellStart"/>
      <w:r w:rsidRPr="000A7899">
        <w:t>s.e.m</w:t>
      </w:r>
      <w:proofErr w:type="spellEnd"/>
      <w:r w:rsidRPr="000A7899">
        <w:t xml:space="preserve">.) found after 200 time steps averaged over 30 simulations. Other parameters: </w:t>
      </w:r>
      <w:r w:rsidRPr="000A7899">
        <w:rPr>
          <w:i/>
        </w:rPr>
        <w:t>n</w:t>
      </w:r>
      <w:r w:rsidRPr="000A7899">
        <w:t xml:space="preserve"> = 600,</w:t>
      </w:r>
      <w:r w:rsidRPr="000A7899">
        <w:rPr>
          <w:i/>
        </w:rPr>
        <w:t xml:space="preserve"> m</w:t>
      </w:r>
      <w:r w:rsidRPr="000A7899">
        <w:t xml:space="preserve"> = 0.01.</w:t>
      </w:r>
    </w:p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>
      <w:r w:rsidRPr="00B23B1A">
        <w:rPr>
          <w:noProof/>
        </w:rPr>
        <w:lastRenderedPageBreak/>
        <w:drawing>
          <wp:inline distT="0" distB="0" distL="0" distR="0" wp14:anchorId="58F8BC6C" wp14:editId="59617032">
            <wp:extent cx="6217256" cy="28194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1299" cy="282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C1" w:rsidRPr="000A7899" w:rsidRDefault="00FA17C1" w:rsidP="00FA17C1">
      <w:pPr>
        <w:jc w:val="both"/>
        <w:rPr>
          <w:szCs w:val="24"/>
        </w:rPr>
      </w:pPr>
      <w:r w:rsidRPr="00FA17C1">
        <w:rPr>
          <w:b/>
          <w:szCs w:val="24"/>
        </w:rPr>
        <w:t>Supplementary Figure 2</w:t>
      </w:r>
      <w:r w:rsidRPr="000A7899">
        <w:rPr>
          <w:szCs w:val="24"/>
        </w:rPr>
        <w:t>: Panel A shows the effect of fragmentation (</w:t>
      </w:r>
      <w:r w:rsidRPr="000A7899">
        <w:rPr>
          <w:i/>
          <w:szCs w:val="24"/>
        </w:rPr>
        <w:t>f</w:t>
      </w:r>
      <w:r w:rsidRPr="000A7899">
        <w:rPr>
          <w:szCs w:val="24"/>
        </w:rPr>
        <w:t xml:space="preserve">) on </w:t>
      </w:r>
      <w:r>
        <w:rPr>
          <w:szCs w:val="24"/>
        </w:rPr>
        <w:t xml:space="preserve">the number of branches explored by populations </w:t>
      </w:r>
      <w:r w:rsidRPr="000A7899">
        <w:rPr>
          <w:szCs w:val="24"/>
        </w:rPr>
        <w:t xml:space="preserve">when </w:t>
      </w:r>
      <w:r w:rsidRPr="000A7899">
        <w:rPr>
          <w:i/>
          <w:iCs/>
          <w:szCs w:val="24"/>
        </w:rPr>
        <w:t xml:space="preserve">ρ </w:t>
      </w:r>
      <w:r w:rsidRPr="000A7899">
        <w:rPr>
          <w:szCs w:val="24"/>
        </w:rPr>
        <w:t>= 1.3. Panel B shows the effect of fragmentation (</w:t>
      </w:r>
      <w:r w:rsidRPr="000A7899">
        <w:rPr>
          <w:i/>
          <w:szCs w:val="24"/>
        </w:rPr>
        <w:t>f</w:t>
      </w:r>
      <w:r w:rsidRPr="000A7899">
        <w:rPr>
          <w:szCs w:val="24"/>
        </w:rPr>
        <w:t xml:space="preserve">) on </w:t>
      </w:r>
      <w:r>
        <w:rPr>
          <w:szCs w:val="24"/>
        </w:rPr>
        <w:t xml:space="preserve">the number of branches explored by populations </w:t>
      </w:r>
      <w:r w:rsidRPr="000A7899">
        <w:rPr>
          <w:szCs w:val="24"/>
        </w:rPr>
        <w:t xml:space="preserve">when </w:t>
      </w:r>
      <w:r w:rsidRPr="000A7899">
        <w:rPr>
          <w:i/>
          <w:iCs/>
          <w:szCs w:val="24"/>
        </w:rPr>
        <w:t xml:space="preserve">ρ </w:t>
      </w:r>
      <w:r w:rsidRPr="000A7899">
        <w:rPr>
          <w:szCs w:val="24"/>
        </w:rPr>
        <w:t xml:space="preserve">= 1.6. Lines show the value (+/- </w:t>
      </w:r>
      <w:proofErr w:type="spellStart"/>
      <w:r w:rsidRPr="000A7899">
        <w:rPr>
          <w:szCs w:val="24"/>
        </w:rPr>
        <w:t>s.e.m</w:t>
      </w:r>
      <w:proofErr w:type="spellEnd"/>
      <w:r w:rsidRPr="000A7899">
        <w:rPr>
          <w:szCs w:val="24"/>
        </w:rPr>
        <w:t xml:space="preserve">.) found after 300 time steps averaged over 30 simulations. Other parameters: </w:t>
      </w:r>
      <w:r w:rsidRPr="000A7899">
        <w:rPr>
          <w:i/>
          <w:szCs w:val="24"/>
        </w:rPr>
        <w:t>n</w:t>
      </w:r>
      <w:r w:rsidRPr="000A7899">
        <w:rPr>
          <w:szCs w:val="24"/>
        </w:rPr>
        <w:t xml:space="preserve"> = 600, </w:t>
      </w:r>
      <w:r w:rsidRPr="000A7899">
        <w:rPr>
          <w:i/>
          <w:szCs w:val="24"/>
        </w:rPr>
        <w:t xml:space="preserve">p </w:t>
      </w:r>
      <w:r w:rsidRPr="000A7899">
        <w:rPr>
          <w:szCs w:val="24"/>
        </w:rPr>
        <w:t>= 0.005,</w:t>
      </w:r>
      <w:r w:rsidRPr="000A7899">
        <w:rPr>
          <w:i/>
          <w:szCs w:val="24"/>
        </w:rPr>
        <w:t xml:space="preserve"> m</w:t>
      </w:r>
      <w:r w:rsidRPr="000A7899">
        <w:rPr>
          <w:szCs w:val="24"/>
        </w:rPr>
        <w:t xml:space="preserve"> = 0.01, ε = 0.2</w:t>
      </w:r>
    </w:p>
    <w:p w:rsidR="00FA17C1" w:rsidRPr="000A7899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r>
        <w:rPr>
          <w:noProof/>
        </w:rPr>
        <w:lastRenderedPageBreak/>
        <w:drawing>
          <wp:inline distT="0" distB="0" distL="0" distR="0" wp14:anchorId="0A1A1CC3" wp14:editId="26CE1C37">
            <wp:extent cx="6186124" cy="269557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90" cy="2703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7C1" w:rsidRPr="000A7899" w:rsidRDefault="00FA17C1" w:rsidP="00FA17C1">
      <w:pPr>
        <w:jc w:val="both"/>
        <w:rPr>
          <w:szCs w:val="24"/>
        </w:rPr>
      </w:pPr>
      <w:r w:rsidRPr="00FA17C1">
        <w:rPr>
          <w:b/>
          <w:szCs w:val="24"/>
        </w:rPr>
        <w:t>Supplementary Figure 3</w:t>
      </w:r>
      <w:r w:rsidRPr="000A7899">
        <w:rPr>
          <w:szCs w:val="24"/>
        </w:rPr>
        <w:t xml:space="preserve">: Panel A </w:t>
      </w:r>
      <w:r w:rsidR="006F4686">
        <w:rPr>
          <w:szCs w:val="24"/>
        </w:rPr>
        <w:t>indicates</w:t>
      </w:r>
      <w:bookmarkStart w:id="0" w:name="_GoBack"/>
      <w:bookmarkEnd w:id="0"/>
      <w:r w:rsidRPr="000A7899">
        <w:rPr>
          <w:szCs w:val="24"/>
        </w:rPr>
        <w:t xml:space="preserve"> that higher rates of learning error (ε) can slightly benefit cultural complexity in non-fragmented populations (</w:t>
      </w:r>
      <w:r w:rsidRPr="000A7899">
        <w:rPr>
          <w:i/>
          <w:szCs w:val="24"/>
        </w:rPr>
        <w:t xml:space="preserve">f </w:t>
      </w:r>
      <w:r w:rsidRPr="000A7899">
        <w:rPr>
          <w:szCs w:val="24"/>
        </w:rPr>
        <w:t>= 1) when innovation weakly depends on cultural diversity (</w:t>
      </w:r>
      <w:r w:rsidRPr="000A7899">
        <w:rPr>
          <w:i/>
          <w:iCs/>
          <w:szCs w:val="24"/>
        </w:rPr>
        <w:t xml:space="preserve">ρ </w:t>
      </w:r>
      <w:r w:rsidRPr="000A7899">
        <w:rPr>
          <w:szCs w:val="24"/>
        </w:rPr>
        <w:t>= 1.3). This is because individuals can branch off to another trajectory after having failed to properly acquire a cultural trait, which promotes cultural diversity. Panel B shows the performance of weakly fragmented populations (</w:t>
      </w:r>
      <w:r w:rsidRPr="000A7899">
        <w:rPr>
          <w:i/>
          <w:szCs w:val="24"/>
        </w:rPr>
        <w:t xml:space="preserve">f </w:t>
      </w:r>
      <w:r w:rsidRPr="000A7899">
        <w:rPr>
          <w:szCs w:val="24"/>
        </w:rPr>
        <w:t>= 5) for the same rates of learning error. Only when learning error is high (ε = 0.3) are non-fragmented populations doing better than fragmented ones, because, in this case, the cultural complexity steady state of weakly fragmented populations become</w:t>
      </w:r>
      <w:r>
        <w:rPr>
          <w:szCs w:val="24"/>
        </w:rPr>
        <w:t>s</w:t>
      </w:r>
      <w:r w:rsidRPr="000A7899">
        <w:rPr>
          <w:szCs w:val="24"/>
        </w:rPr>
        <w:t xml:space="preserve"> determined by populations’ ability to maintain innovations. When error rates are lower, fragmented populations are more likely to produce complex cultural items than non-fragmented populations (Supplementary Fig</w:t>
      </w:r>
      <w:r>
        <w:rPr>
          <w:szCs w:val="24"/>
        </w:rPr>
        <w:t>.</w:t>
      </w:r>
      <w:r w:rsidRPr="000A7899">
        <w:rPr>
          <w:szCs w:val="24"/>
        </w:rPr>
        <w:t xml:space="preserve"> 2) and can stabilize them. Lines show the value (+/- </w:t>
      </w:r>
      <w:proofErr w:type="spellStart"/>
      <w:r w:rsidRPr="000A7899">
        <w:rPr>
          <w:szCs w:val="24"/>
        </w:rPr>
        <w:t>s.e.m</w:t>
      </w:r>
      <w:proofErr w:type="spellEnd"/>
      <w:r w:rsidRPr="000A7899">
        <w:rPr>
          <w:szCs w:val="24"/>
        </w:rPr>
        <w:t xml:space="preserve">.) found after 300 time steps averaged over 30 simulations. Other parameters: </w:t>
      </w:r>
      <w:r w:rsidRPr="000A7899">
        <w:rPr>
          <w:i/>
          <w:szCs w:val="24"/>
        </w:rPr>
        <w:t>n</w:t>
      </w:r>
      <w:r w:rsidRPr="000A7899">
        <w:rPr>
          <w:szCs w:val="24"/>
        </w:rPr>
        <w:t xml:space="preserve"> = 600, </w:t>
      </w:r>
      <w:r w:rsidRPr="000A7899">
        <w:rPr>
          <w:i/>
          <w:szCs w:val="24"/>
        </w:rPr>
        <w:t xml:space="preserve">p </w:t>
      </w:r>
      <w:r w:rsidRPr="000A7899">
        <w:rPr>
          <w:szCs w:val="24"/>
        </w:rPr>
        <w:t>= 0.005,</w:t>
      </w:r>
      <w:r w:rsidRPr="000A7899">
        <w:rPr>
          <w:i/>
          <w:szCs w:val="24"/>
        </w:rPr>
        <w:t xml:space="preserve"> m</w:t>
      </w:r>
      <w:r w:rsidRPr="000A7899">
        <w:rPr>
          <w:szCs w:val="24"/>
        </w:rPr>
        <w:t xml:space="preserve"> = 0.01.</w:t>
      </w: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>
      <w:pPr>
        <w:jc w:val="both"/>
        <w:rPr>
          <w:szCs w:val="24"/>
        </w:rPr>
      </w:pPr>
    </w:p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/>
    <w:p w:rsidR="00FA17C1" w:rsidRDefault="00FA17C1" w:rsidP="00FA17C1">
      <w:pPr>
        <w:jc w:val="center"/>
      </w:pPr>
      <w:r w:rsidRPr="00B23B1A">
        <w:rPr>
          <w:noProof/>
        </w:rPr>
        <w:lastRenderedPageBreak/>
        <w:drawing>
          <wp:inline distT="0" distB="0" distL="0" distR="0" wp14:anchorId="4C1D265F" wp14:editId="1555F3CA">
            <wp:extent cx="4391025" cy="3847476"/>
            <wp:effectExtent l="0" t="0" r="0" b="635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5568" cy="38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C1" w:rsidRPr="0042132C" w:rsidRDefault="00FA17C1" w:rsidP="00FA17C1">
      <w:pPr>
        <w:jc w:val="both"/>
        <w:rPr>
          <w:szCs w:val="24"/>
        </w:rPr>
      </w:pPr>
      <w:r w:rsidRPr="00FA17C1">
        <w:rPr>
          <w:b/>
          <w:szCs w:val="24"/>
        </w:rPr>
        <w:t>Supplementary Figure 4</w:t>
      </w:r>
      <w:r w:rsidRPr="003D52E1">
        <w:rPr>
          <w:szCs w:val="24"/>
        </w:rPr>
        <w:t>:</w:t>
      </w:r>
      <w:r>
        <w:rPr>
          <w:szCs w:val="24"/>
        </w:rPr>
        <w:t xml:space="preserve"> </w:t>
      </w:r>
      <w:r w:rsidRPr="00EB0EC2">
        <w:rPr>
          <w:szCs w:val="24"/>
        </w:rPr>
        <w:t>Effect of migration (</w:t>
      </w:r>
      <w:r w:rsidRPr="00EB0EC2">
        <w:rPr>
          <w:i/>
          <w:szCs w:val="24"/>
        </w:rPr>
        <w:t>m</w:t>
      </w:r>
      <w:r w:rsidRPr="00EB0EC2">
        <w:rPr>
          <w:szCs w:val="24"/>
        </w:rPr>
        <w:t xml:space="preserve">) on </w:t>
      </w:r>
      <w:r>
        <w:rPr>
          <w:szCs w:val="24"/>
        </w:rPr>
        <w:t xml:space="preserve">the number of branches explored by moderately fragmented populations </w:t>
      </w:r>
      <w:r w:rsidRPr="00137FF2">
        <w:rPr>
          <w:szCs w:val="24"/>
        </w:rPr>
        <w:t>(</w:t>
      </w:r>
      <w:r w:rsidRPr="00137FF2">
        <w:rPr>
          <w:i/>
          <w:szCs w:val="24"/>
        </w:rPr>
        <w:t>f</w:t>
      </w:r>
      <w:r w:rsidRPr="00237178">
        <w:rPr>
          <w:szCs w:val="24"/>
        </w:rPr>
        <w:t xml:space="preserve"> = </w:t>
      </w:r>
      <w:r>
        <w:rPr>
          <w:szCs w:val="24"/>
        </w:rPr>
        <w:t>10</w:t>
      </w:r>
      <w:r w:rsidRPr="00137FF2">
        <w:rPr>
          <w:szCs w:val="24"/>
        </w:rPr>
        <w:t>)</w:t>
      </w:r>
      <w:r w:rsidRPr="00EB0EC2">
        <w:rPr>
          <w:szCs w:val="24"/>
        </w:rPr>
        <w:t xml:space="preserve"> when innovation strongly depends on cultural diversity</w:t>
      </w:r>
      <w:r>
        <w:rPr>
          <w:szCs w:val="24"/>
        </w:rPr>
        <w:t xml:space="preserve"> (</w:t>
      </w:r>
      <w:r w:rsidRPr="00EB0EC2">
        <w:rPr>
          <w:i/>
          <w:iCs/>
          <w:szCs w:val="24"/>
        </w:rPr>
        <w:t xml:space="preserve">ρ </w:t>
      </w:r>
      <w:r w:rsidRPr="00EB0EC2">
        <w:rPr>
          <w:szCs w:val="24"/>
        </w:rPr>
        <w:t>= 1.6</w:t>
      </w:r>
      <w:r>
        <w:rPr>
          <w:szCs w:val="24"/>
        </w:rPr>
        <w:t>)</w:t>
      </w:r>
      <w:r w:rsidRPr="00EB0EC2">
        <w:rPr>
          <w:szCs w:val="24"/>
        </w:rPr>
        <w:t>.</w:t>
      </w:r>
      <w:r>
        <w:rPr>
          <w:szCs w:val="24"/>
        </w:rPr>
        <w:t xml:space="preserve"> As migration rate increases, the number of branches explored by sub-populations decreases. Other parameters:</w:t>
      </w:r>
      <w:r w:rsidRPr="00EB0EC2">
        <w:rPr>
          <w:szCs w:val="24"/>
        </w:rPr>
        <w:t xml:space="preserve"> </w:t>
      </w:r>
      <w:r w:rsidRPr="00EB0EC2">
        <w:rPr>
          <w:i/>
          <w:szCs w:val="24"/>
        </w:rPr>
        <w:t>n</w:t>
      </w:r>
      <w:r w:rsidRPr="00EB0EC2">
        <w:rPr>
          <w:szCs w:val="24"/>
        </w:rPr>
        <w:t xml:space="preserve"> = 600, </w:t>
      </w:r>
      <w:r w:rsidRPr="00EB0EC2">
        <w:rPr>
          <w:i/>
          <w:szCs w:val="24"/>
        </w:rPr>
        <w:t>s</w:t>
      </w:r>
      <w:r w:rsidRPr="00EB0EC2">
        <w:rPr>
          <w:szCs w:val="24"/>
        </w:rPr>
        <w:t xml:space="preserve"> = 10, </w:t>
      </w:r>
      <w:r w:rsidRPr="00EB0EC2">
        <w:rPr>
          <w:i/>
          <w:szCs w:val="24"/>
        </w:rPr>
        <w:t xml:space="preserve">p </w:t>
      </w:r>
      <w:r>
        <w:rPr>
          <w:szCs w:val="24"/>
        </w:rPr>
        <w:t>= 0.005, ε = 0.2.</w:t>
      </w:r>
    </w:p>
    <w:p w:rsidR="00CD2A74" w:rsidRDefault="00E23DB0"/>
    <w:sectPr w:rsidR="00CD2A74" w:rsidSect="006F4686">
      <w:headerReference w:type="even" r:id="rId10"/>
      <w:headerReference w:type="first" r:id="rId11"/>
      <w:footerReference w:type="first" r:id="rId12"/>
      <w:pgSz w:w="11907" w:h="16840" w:code="9"/>
      <w:pgMar w:top="960" w:right="1134" w:bottom="851" w:left="1304" w:header="340" w:footer="567" w:gutter="0"/>
      <w:cols w:space="397" w:equalWidth="0">
        <w:col w:w="978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B0" w:rsidRDefault="00E23DB0">
      <w:r>
        <w:separator/>
      </w:r>
    </w:p>
  </w:endnote>
  <w:endnote w:type="continuationSeparator" w:id="0">
    <w:p w:rsidR="00E23DB0" w:rsidRDefault="00E2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0D" w:rsidRPr="00F234D5" w:rsidRDefault="00E23DB0" w:rsidP="00F234D5">
    <w:pPr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B0" w:rsidRDefault="00E23DB0">
      <w:r>
        <w:separator/>
      </w:r>
    </w:p>
  </w:footnote>
  <w:footnote w:type="continuationSeparator" w:id="0">
    <w:p w:rsidR="00E23DB0" w:rsidRDefault="00E2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0D" w:rsidRDefault="00E23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0D" w:rsidRPr="00090077" w:rsidRDefault="00E23DB0" w:rsidP="00090077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1"/>
    <w:rsid w:val="006F4686"/>
    <w:rsid w:val="007410F9"/>
    <w:rsid w:val="00895A21"/>
    <w:rsid w:val="00A71D45"/>
    <w:rsid w:val="00E23DB0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5ABEE-FDCC-4D3B-8D90-D8A525D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17C1"/>
  </w:style>
  <w:style w:type="paragraph" w:customStyle="1" w:styleId="01PaperTitle">
    <w:name w:val="01 Paper Title"/>
    <w:next w:val="Normal"/>
    <w:autoRedefine/>
    <w:rsid w:val="00FA17C1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Derex</dc:creator>
  <cp:keywords/>
  <dc:description/>
  <cp:lastModifiedBy>Derex, Maxime</cp:lastModifiedBy>
  <cp:revision>3</cp:revision>
  <dcterms:created xsi:type="dcterms:W3CDTF">2017-09-06T13:27:00Z</dcterms:created>
  <dcterms:modified xsi:type="dcterms:W3CDTF">2017-12-01T06:56:00Z</dcterms:modified>
</cp:coreProperties>
</file>